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01,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156845</wp:posOffset>
            </wp:positionV>
            <wp:extent cx="252031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031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Franklin Covey Co.</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820" w:type="dxa"/>
        <w:tblCellMar>
          <w:top w:w="0" w:type="dxa"/>
          <w:left w:w="0" w:type="dxa"/>
          <w:bottom w:w="0" w:type="dxa"/>
          <w:right w:w="0" w:type="dxa"/>
        </w:tblCellMar>
      </w:tblPr>
      <w:tr>
        <w:trPr>
          <w:trHeight w:val="222"/>
        </w:trPr>
        <w:tc>
          <w:tcPr>
            <w:tcW w:w="350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Utah</w:t>
            </w:r>
          </w:p>
        </w:tc>
        <w:tc>
          <w:tcPr>
            <w:tcW w:w="310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001-11107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87-0401551</w:t>
            </w:r>
          </w:p>
        </w:tc>
      </w:tr>
      <w:tr>
        <w:trPr>
          <w:trHeight w:val="149"/>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00" w:type="dxa"/>
            <w:vAlign w:val="bottom"/>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0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500" w:type="dxa"/>
            <w:vAlign w:val="bottom"/>
          </w:tcPr>
          <w:p>
            <w:pPr>
              <w:jc w:val="center"/>
              <w:ind w:right="441"/>
              <w:spacing w:after="0"/>
              <w:rPr>
                <w:sz w:val="20"/>
                <w:szCs w:val="20"/>
                <w:color w:val="auto"/>
              </w:rPr>
            </w:pPr>
            <w:r>
              <w:rPr>
                <w:rFonts w:ascii="Times New Roman" w:cs="Times New Roman" w:eastAsia="Times New Roman" w:hAnsi="Times New Roman"/>
                <w:sz w:val="18"/>
                <w:szCs w:val="18"/>
                <w:b w:val="1"/>
                <w:bCs w:val="1"/>
                <w:color w:val="auto"/>
                <w:w w:val="99"/>
              </w:rPr>
              <w:t>13907 South Minuteman Dr., Suite 500</w:t>
            </w:r>
          </w:p>
        </w:tc>
        <w:tc>
          <w:tcPr>
            <w:tcW w:w="3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rPr>
              <w:t>Draper, Utah</w:t>
            </w:r>
          </w:p>
        </w:tc>
        <w:tc>
          <w:tcPr>
            <w:tcW w:w="310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84020</w:t>
            </w:r>
          </w:p>
        </w:tc>
      </w:tr>
      <w:tr>
        <w:trPr>
          <w:trHeight w:val="178"/>
        </w:trPr>
        <w:tc>
          <w:tcPr>
            <w:tcW w:w="3500" w:type="dxa"/>
            <w:vAlign w:val="bottom"/>
          </w:tcPr>
          <w:p>
            <w:pPr>
              <w:jc w:val="center"/>
              <w:ind w:right="4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0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801 817-1776</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$0.05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FC</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April 1, 2026, Franklin Covey Co. (the Company) announced its financial results for the second quarter of fiscal 2026, which ended on February 28, 2026. A copy of the earnings release is being furnished as Exhibit 99.1 to this current report on Form 8-K.</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Certain information in this Report (including the exhibit) is furnished pursuant to Item 2.02 and shall not be deemed to be “filed” for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expressly set forth by specific reference in such a filing.</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March 18, 2026, the Company announced that it would host a discussion for shareholders and the financial community to review its financial results for the second quarter of fiscal 2026. The discussion is scheduled to be held on Wednesday, April 1, 2026, at 5:00 p.m. Eastern Time (3:00 p.m. Mountain Time).</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Interested persons may access a live webcast </w:t>
      </w:r>
      <w:r>
        <w:rPr>
          <w:rFonts w:ascii="Times New Roman" w:cs="Times New Roman" w:eastAsia="Times New Roman" w:hAnsi="Times New Roman"/>
          <w:sz w:val="18"/>
          <w:szCs w:val="18"/>
          <w:u w:val="single" w:color="auto"/>
          <w:color w:val="auto"/>
        </w:rPr>
        <w:t>https://edge.media-server.com/mmc/p/qux2545x</w:t>
      </w:r>
      <w:r>
        <w:rPr>
          <w:rFonts w:ascii="Times New Roman" w:cs="Times New Roman" w:eastAsia="Times New Roman" w:hAnsi="Times New Roman"/>
          <w:sz w:val="18"/>
          <w:szCs w:val="18"/>
          <w:color w:val="auto"/>
        </w:rPr>
        <w:t xml:space="preserve"> or may participate via telephone by registering at </w:t>
      </w:r>
      <w:r>
        <w:rPr>
          <w:rFonts w:ascii="Times New Roman" w:cs="Times New Roman" w:eastAsia="Times New Roman" w:hAnsi="Times New Roman"/>
          <w:sz w:val="18"/>
          <w:szCs w:val="18"/>
          <w:u w:val="single" w:color="auto"/>
          <w:color w:val="auto"/>
        </w:rPr>
        <w:t>https://register-conf.media-server.com/register/BI2c1e170bc74e4643ad0d7d53976bef49</w:t>
      </w:r>
      <w:r>
        <w:rPr>
          <w:rFonts w:ascii="Times New Roman" w:cs="Times New Roman" w:eastAsia="Times New Roman" w:hAnsi="Times New Roman"/>
          <w:sz w:val="18"/>
          <w:szCs w:val="18"/>
          <w:color w:val="auto"/>
        </w:rPr>
        <w:t>. Once registered, participants will have the option of 1) dialing into the call from their phone (via a personalized PIN); or 2) clicking the “Call Me” option to receive an automated call directly to their phone. For either option, registration will be required to access the call. A replay of the conference call webcast will be archived on the Company’s website for at least 30 days.</w:t>
      </w:r>
    </w:p>
    <w:p>
      <w:pPr>
        <w:spacing w:after="0" w:line="39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1"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b w:val="1"/>
          <w:bCs w:val="1"/>
          <w:u w:val="single" w:color="auto"/>
          <w:color w:val="0000FF"/>
        </w:rPr>
        <w:t>Earnings release dated April 1,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937895</wp:posOffset>
            </wp:positionH>
            <wp:positionV relativeFrom="paragraph">
              <wp:posOffset>-5080</wp:posOffset>
            </wp:positionV>
            <wp:extent cx="177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1015" cy="8255"/>
                    </a:xfrm>
                    <a:prstGeom prst="rect">
                      <a:avLst/>
                    </a:prstGeom>
                    <a:noFill/>
                  </pic:spPr>
                </pic:pic>
              </a:graphicData>
            </a:graphic>
          </wp:anchor>
        </w:drawing>
      </w:r>
    </w:p>
    <w:p>
      <w:pPr>
        <w:spacing w:after="0" w:line="11"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FRANKLIN COVEY CO.</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April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Jessica G. Betjemann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Jessica G. Betjemann</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3" w:right="379" w:bottom="1440" w:gutter="0" w:footer="0" w:header="0"/>
        </w:sectPr>
      </w:pPr>
    </w:p>
    <w:bookmarkStart w:id="3" w:name="page4"/>
    <w:bookmarkEnd w:id="3"/>
    <w:p>
      <w:pPr>
        <w:ind w:left="10340"/>
        <w:spacing w:after="0"/>
        <w:rPr>
          <w:sz w:val="20"/>
          <w:szCs w:val="20"/>
          <w:color w:val="auto"/>
        </w:rPr>
      </w:pPr>
      <w:r>
        <w:rPr>
          <w:rFonts w:ascii="Times New Roman" w:cs="Times New Roman" w:eastAsia="Times New Roman" w:hAnsi="Times New Roman"/>
          <w:sz w:val="18"/>
          <w:szCs w:val="18"/>
          <w:color w:val="auto"/>
        </w:rPr>
        <w:t>Exhibit 99.1</w:t>
      </w:r>
    </w:p>
    <w:p>
      <w:pPr>
        <w:spacing w:after="0" w:line="198"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40"/>
          <w:szCs w:val="40"/>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-262255</wp:posOffset>
            </wp:positionV>
            <wp:extent cx="1877060" cy="334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7060" cy="334645"/>
                    </a:xfrm>
                    <a:prstGeom prst="rect">
                      <a:avLst/>
                    </a:prstGeom>
                    <a:noFill/>
                  </pic:spPr>
                </pic:pic>
              </a:graphicData>
            </a:graphic>
          </wp:anchor>
        </w:drawing>
      </w:r>
    </w:p>
    <w:p>
      <w:pPr>
        <w:spacing w:after="0" w:line="290" w:lineRule="exact"/>
        <w:rPr>
          <w:sz w:val="20"/>
          <w:szCs w:val="20"/>
          <w:color w:val="auto"/>
        </w:rPr>
      </w:pPr>
    </w:p>
    <w:p>
      <w:pPr>
        <w:jc w:val="center"/>
        <w:ind w:right="7300"/>
        <w:spacing w:after="0"/>
        <w:rPr>
          <w:sz w:val="20"/>
          <w:szCs w:val="20"/>
          <w:color w:val="auto"/>
        </w:rPr>
      </w:pPr>
      <w:r>
        <w:rPr>
          <w:rFonts w:ascii="Times New Roman" w:cs="Times New Roman" w:eastAsia="Times New Roman" w:hAnsi="Times New Roman"/>
          <w:sz w:val="18"/>
          <w:szCs w:val="18"/>
          <w:color w:val="auto"/>
        </w:rPr>
        <w:t>13907 S. Minuteman Drive, Suite 500</w:t>
      </w:r>
    </w:p>
    <w:p>
      <w:pPr>
        <w:spacing w:after="0" w:line="27" w:lineRule="exact"/>
        <w:rPr>
          <w:sz w:val="20"/>
          <w:szCs w:val="20"/>
          <w:color w:val="auto"/>
        </w:rPr>
      </w:pPr>
    </w:p>
    <w:p>
      <w:pPr>
        <w:jc w:val="center"/>
        <w:ind w:right="7300"/>
        <w:spacing w:after="0"/>
        <w:rPr>
          <w:sz w:val="20"/>
          <w:szCs w:val="20"/>
          <w:color w:val="auto"/>
        </w:rPr>
      </w:pPr>
      <w:r>
        <w:rPr>
          <w:rFonts w:ascii="Times New Roman" w:cs="Times New Roman" w:eastAsia="Times New Roman" w:hAnsi="Times New Roman"/>
          <w:sz w:val="18"/>
          <w:szCs w:val="18"/>
          <w:color w:val="auto"/>
        </w:rPr>
        <w:t>Draper, UT 84020</w:t>
      </w:r>
    </w:p>
    <w:p>
      <w:pPr>
        <w:spacing w:after="0" w:line="9" w:lineRule="exact"/>
        <w:rPr>
          <w:sz w:val="20"/>
          <w:szCs w:val="20"/>
          <w:color w:val="auto"/>
        </w:rPr>
      </w:pPr>
    </w:p>
    <w:p>
      <w:pPr>
        <w:jc w:val="center"/>
        <w:ind w:right="7300"/>
        <w:spacing w:after="0"/>
        <w:rPr>
          <w:sz w:val="20"/>
          <w:szCs w:val="20"/>
          <w:color w:val="auto"/>
        </w:rPr>
      </w:pPr>
      <w:r>
        <w:rPr>
          <w:rFonts w:ascii="Times New Roman" w:cs="Times New Roman" w:eastAsia="Times New Roman" w:hAnsi="Times New Roman"/>
          <w:sz w:val="18"/>
          <w:szCs w:val="18"/>
          <w:color w:val="auto"/>
        </w:rPr>
        <w:t>www.franklincovey.com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FRANKLIN COVEY REPORTS SECOND QUARTER FISCAL 2026</w:t>
      </w:r>
    </w:p>
    <w:p>
      <w:pPr>
        <w:spacing w:after="0" w:line="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FINANCIAL RESULTS</w:t>
      </w:r>
    </w:p>
    <w:p>
      <w:pPr>
        <w:spacing w:after="0" w:line="216"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Consolidated Second Quarter Revenue of $59.6 Million</w:t>
      </w:r>
    </w:p>
    <w:p>
      <w:pPr>
        <w:spacing w:after="0" w:line="13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Invoiced Amounts in Enterprise North America Increases 7%</w:t>
      </w:r>
    </w:p>
    <w:p>
      <w:pPr>
        <w:spacing w:after="0" w:line="13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Deferred Revenue Increases 7% to $101.5 Million</w:t>
      </w:r>
    </w:p>
    <w:p>
      <w:pPr>
        <w:spacing w:after="0" w:line="13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Net Loss for the Second Quarter of $2.0 Million</w:t>
      </w:r>
    </w:p>
    <w:p>
      <w:pPr>
        <w:spacing w:after="0" w:line="13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Adjusted EBITDA Increases 99% to $4.1 Million</w:t>
      </w:r>
    </w:p>
    <w:p>
      <w:pPr>
        <w:spacing w:after="0" w:line="139" w:lineRule="exact"/>
        <w:rPr>
          <w:sz w:val="20"/>
          <w:szCs w:val="20"/>
          <w:color w:val="auto"/>
        </w:rPr>
      </w:pPr>
    </w:p>
    <w:p>
      <w:pPr>
        <w:ind w:left="2660" w:right="2240" w:hanging="458"/>
        <w:spacing w:after="0" w:line="286" w:lineRule="auto"/>
        <w:rPr>
          <w:sz w:val="20"/>
          <w:szCs w:val="20"/>
          <w:color w:val="auto"/>
        </w:rPr>
      </w:pPr>
      <w:r>
        <w:rPr>
          <w:rFonts w:ascii="Times New Roman" w:cs="Times New Roman" w:eastAsia="Times New Roman" w:hAnsi="Times New Roman"/>
          <w:sz w:val="21"/>
          <w:szCs w:val="21"/>
          <w:b w:val="1"/>
          <w:bCs w:val="1"/>
          <w:color w:val="auto"/>
        </w:rPr>
        <w:t>Liquidity Remains Strong at Over $76 Million, with $13.7 Million of Cash and the Company’s $62.5 Million Credit Facility Fully Available</w:t>
      </w:r>
    </w:p>
    <w:p>
      <w:pPr>
        <w:spacing w:after="0" w:line="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Purchased $17.0 million of Common Stock During the</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Second Quarter Fiscal 2026</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Company Affirms Annual Guidance for Fiscal 2026</w:t>
      </w:r>
    </w:p>
    <w:p>
      <w:pPr>
        <w:spacing w:after="0" w:line="22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Salt Lake City, Utah </w:t>
      </w:r>
      <w:r>
        <w:rPr>
          <w:rFonts w:ascii="Times New Roman" w:cs="Times New Roman" w:eastAsia="Times New Roman" w:hAnsi="Times New Roman"/>
          <w:sz w:val="20"/>
          <w:szCs w:val="20"/>
          <w:color w:val="auto"/>
        </w:rPr>
        <w:t>– Franklin Covey Co. (NYSE: FC), a global leadership and organizational performance partner, gives strategy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human edge. We help clients achieve breakthrough results and transform how they execute strategy at scale. Today, the Company announced its financial results for the second quarter of fiscal 2026, which ended on February 28,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Second Quarter Fiscal 2026 Financial Overview</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consolidated revenue for Q2 FY2026 was $59.6 million, which was flat to Q2 FY2025. Consolidated invoiced amounts for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Q2 FY2026 grew 5% over the prior year. The Company’s financial results for Q2 FY2026 include the following:</w:t>
      </w:r>
    </w:p>
    <w:p>
      <w:pPr>
        <w:spacing w:after="0" w:line="207" w:lineRule="exact"/>
        <w:rPr>
          <w:sz w:val="20"/>
          <w:szCs w:val="20"/>
          <w:color w:val="auto"/>
        </w:rPr>
      </w:pPr>
    </w:p>
    <w:p>
      <w:pPr>
        <w:ind w:left="1140" w:hanging="383"/>
        <w:spacing w:after="0"/>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Enterprise Division revenue for Q2 FY2026 totaled $41.6 million compared with $43.6 million in the prior year.</w:t>
      </w:r>
    </w:p>
    <w:p>
      <w:pPr>
        <w:spacing w:after="0" w:line="21" w:lineRule="exact"/>
        <w:rPr>
          <w:rFonts w:ascii="Times New Roman" w:cs="Times New Roman" w:eastAsia="Times New Roman" w:hAnsi="Times New Roman"/>
          <w:sz w:val="20"/>
          <w:szCs w:val="20"/>
          <w:color w:val="auto"/>
        </w:rPr>
      </w:pPr>
    </w:p>
    <w:p>
      <w:pPr>
        <w:ind w:left="1880" w:right="40" w:hanging="375"/>
        <w:spacing w:after="0" w:line="239" w:lineRule="auto"/>
        <w:tabs>
          <w:tab w:leader="none" w:pos="18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Enterprise Division revenue reflected a $2.0 million decline in North America segment revenue partially offset by a $0.1 million increase in International segment revenue. The North America segment was adversely affected by lower subscription revenue recognized as a result of lower invoiced amounts and deferred revenue last fiscal year.</w:t>
      </w:r>
    </w:p>
    <w:p>
      <w:pPr>
        <w:spacing w:after="0" w:line="1" w:lineRule="exact"/>
        <w:rPr>
          <w:rFonts w:ascii="Times New Roman" w:cs="Times New Roman" w:eastAsia="Times New Roman" w:hAnsi="Times New Roman"/>
          <w:sz w:val="20"/>
          <w:szCs w:val="20"/>
          <w:color w:val="auto"/>
        </w:rPr>
      </w:pPr>
    </w:p>
    <w:p>
      <w:pPr>
        <w:ind w:left="1880" w:hanging="375"/>
        <w:spacing w:after="0"/>
        <w:tabs>
          <w:tab w:leader="none" w:pos="18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Enterprise North America invoiced amounts grew 7% for the second quarter in a row.</w:t>
      </w:r>
    </w:p>
    <w:p>
      <w:pPr>
        <w:ind w:left="1880" w:hanging="375"/>
        <w:spacing w:after="0"/>
        <w:tabs>
          <w:tab w:leader="none" w:pos="18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Deferred revenue for the Enterprise Division increased 15% year-over-year.</w:t>
      </w:r>
    </w:p>
    <w:p>
      <w:pPr>
        <w:ind w:left="1140" w:hanging="383"/>
        <w:spacing w:after="0" w:line="239"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Education Division revenue in Q2 FY2026 increased $2.4 million, or 16%, to $17.5 million compared with $15.1 million in the prior year.</w:t>
      </w:r>
    </w:p>
    <w:p>
      <w:pPr>
        <w:ind w:left="1880" w:right="380" w:hanging="375"/>
        <w:spacing w:after="0" w:line="239" w:lineRule="auto"/>
        <w:tabs>
          <w:tab w:leader="none" w:pos="18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increase was driven by higher training, coaching, materials, and membership subscription revenue during the quarter.</w:t>
      </w:r>
    </w:p>
    <w:p>
      <w:pPr>
        <w:ind w:left="1140" w:right="40" w:hanging="383"/>
        <w:spacing w:after="0" w:line="246" w:lineRule="auto"/>
        <w:tabs>
          <w:tab w:leader="none" w:pos="11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subscription and subscription services revenue for Q2 FY2026 was $50.9 million compared with $49.5 million in Q2 FY2025. Subscription and contractually committed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374015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ind w:left="1140"/>
        <w:spacing w:after="0"/>
        <w:rPr>
          <w:sz w:val="20"/>
          <w:szCs w:val="20"/>
          <w:color w:val="auto"/>
        </w:rPr>
      </w:pPr>
      <w:r>
        <w:rPr>
          <w:rFonts w:ascii="Times New Roman" w:cs="Times New Roman" w:eastAsia="Times New Roman" w:hAnsi="Times New Roman"/>
          <w:sz w:val="20"/>
          <w:szCs w:val="20"/>
          <w:color w:val="auto"/>
        </w:rPr>
        <w:t>invoiced for Q2 FY2026 totaled $39.3 million, growth of 16%, compared with $33.9 million in Q2 FY2025.</w:t>
      </w:r>
    </w:p>
    <w:p>
      <w:pPr>
        <w:spacing w:after="0" w:line="22" w:lineRule="exact"/>
        <w:rPr>
          <w:sz w:val="20"/>
          <w:szCs w:val="20"/>
          <w:color w:val="auto"/>
        </w:rPr>
      </w:pPr>
    </w:p>
    <w:p>
      <w:pPr>
        <w:ind w:left="1140" w:right="420" w:hanging="383"/>
        <w:spacing w:after="0" w:line="239"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realized a net loss for Q2 FY2026 of $(2.0) million, or $(0.17) per share, compared with a net loss of $(1.1) million, or $(0.08) per share, in Q2 FY2025.</w:t>
      </w:r>
    </w:p>
    <w:p>
      <w:pPr>
        <w:ind w:left="1140" w:hanging="383"/>
        <w:spacing w:after="0"/>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for Q2 FY2026 increased 99% to $4.1 million compared with $2.1 million in the prior year.</w:t>
      </w:r>
    </w:p>
    <w:p>
      <w:pPr>
        <w:ind w:left="1140" w:right="160" w:hanging="383"/>
        <w:spacing w:after="0" w:line="239"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deferred revenue at February 28, 2026 increased 7% to $101.5 million compared with $94.4 million at February 28, 2025.</w:t>
      </w:r>
    </w:p>
    <w:p>
      <w:pPr>
        <w:ind w:left="1880" w:right="60" w:hanging="375"/>
        <w:spacing w:after="0" w:line="239" w:lineRule="auto"/>
        <w:tabs>
          <w:tab w:leader="none" w:pos="18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February 28, 2026, 59% of the Company’s AAP contracts in North America were for at least two years, compared with 55% at February 28, 2025, and the percentage of contracted amounts represented by multi-year contracts was 62% compared with 61% on February 28, 2025.</w:t>
      </w:r>
    </w:p>
    <w:p>
      <w:pPr>
        <w:spacing w:after="0" w:line="1" w:lineRule="exact"/>
        <w:rPr>
          <w:rFonts w:ascii="Times New Roman" w:cs="Times New Roman" w:eastAsia="Times New Roman" w:hAnsi="Times New Roman"/>
          <w:sz w:val="20"/>
          <w:szCs w:val="20"/>
          <w:color w:val="auto"/>
        </w:rPr>
      </w:pPr>
    </w:p>
    <w:p>
      <w:pPr>
        <w:ind w:left="1880" w:right="240" w:hanging="375"/>
        <w:spacing w:after="0" w:line="239" w:lineRule="auto"/>
        <w:tabs>
          <w:tab w:leader="none" w:pos="18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Unbilled deferred revenue totaled $64.9 million at February 28, 2026, compared with $64.5 million at February 28, 2025.</w:t>
      </w:r>
    </w:p>
    <w:p>
      <w:pPr>
        <w:ind w:left="1140" w:right="500" w:hanging="383"/>
        <w:spacing w:after="0" w:line="239"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provided by operating activities for the first two quarters of FY2026 was $16.4 million reflecting the strength of Q2 FY2026 operating cash flows of $16.3 million compared with $(1.4) million of cash used in the prior year.</w:t>
      </w:r>
    </w:p>
    <w:p>
      <w:pPr>
        <w:ind w:left="1880" w:hanging="375"/>
        <w:spacing w:after="0"/>
        <w:tabs>
          <w:tab w:leader="none" w:pos="18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 for Q2 FY2026 was $13.2 million compared with $(3.6) million in Q2 FY2025.</w:t>
      </w:r>
    </w:p>
    <w:p>
      <w:pPr>
        <w:ind w:left="1880" w:hanging="375"/>
        <w:spacing w:after="0"/>
        <w:tabs>
          <w:tab w:leader="none" w:pos="188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 totaled $13.7 million compared with $40.4 million as of February 28, 2025.</w:t>
      </w:r>
    </w:p>
    <w:p>
      <w:pPr>
        <w:ind w:left="1140" w:hanging="383"/>
        <w:spacing w:after="0" w:line="241" w:lineRule="auto"/>
        <w:tabs>
          <w:tab w:leader="none" w:pos="11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Q2 FY2026, the Company purchased approximately 947,000 shares of its common stock for $17.0 million. Approximately 922,000 shares were purchased in the open market under 10b5-1 trading plans and approximately 25,000 shares were withheld to cover statutory income taxes on stock-based compensation awards that vested and were issued during the second quarter.</w:t>
      </w:r>
    </w:p>
    <w:p>
      <w:pPr>
        <w:spacing w:after="0" w:line="202" w:lineRule="exact"/>
        <w:rPr>
          <w:sz w:val="20"/>
          <w:szCs w:val="20"/>
          <w:color w:val="auto"/>
        </w:rPr>
      </w:pPr>
    </w:p>
    <w:p>
      <w:pPr>
        <w:ind w:right="300"/>
        <w:spacing w:after="0" w:line="244" w:lineRule="exact"/>
        <w:rPr>
          <w:sz w:val="20"/>
          <w:szCs w:val="20"/>
          <w:color w:val="auto"/>
        </w:rPr>
      </w:pPr>
      <w:r>
        <w:rPr>
          <w:rFonts w:ascii="Times New Roman" w:cs="Times New Roman" w:eastAsia="Times New Roman" w:hAnsi="Times New Roman"/>
          <w:sz w:val="20"/>
          <w:szCs w:val="20"/>
          <w:color w:val="auto"/>
        </w:rPr>
        <w:t>Paul Walker, President and Chief Executive Officer commented, “Our second quarter results reflect the importance of what we do and the traction of our go-to-market transformation. We delivered our second consecutive quarter of 7% invoiced growth in Enterprise North America as strong execution on our go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to</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market strategy continues to gain traction. We believe we are at an inflection point where the return on investment from our transformation is becoming evident.</w:t>
      </w:r>
    </w:p>
    <w:p>
      <w:pPr>
        <w:spacing w:after="0" w:line="214" w:lineRule="exact"/>
        <w:rPr>
          <w:sz w:val="20"/>
          <w:szCs w:val="20"/>
          <w:color w:val="auto"/>
        </w:rPr>
      </w:pPr>
    </w:p>
    <w:p>
      <w:pPr>
        <w:ind w:right="40"/>
        <w:spacing w:after="0" w:line="240" w:lineRule="exact"/>
        <w:rPr>
          <w:sz w:val="20"/>
          <w:szCs w:val="20"/>
          <w:color w:val="auto"/>
        </w:rPr>
      </w:pPr>
      <w:r>
        <w:rPr>
          <w:rFonts w:ascii="Times New Roman" w:cs="Times New Roman" w:eastAsia="Times New Roman" w:hAnsi="Times New Roman"/>
          <w:sz w:val="20"/>
          <w:szCs w:val="20"/>
          <w:color w:val="auto"/>
        </w:rPr>
        <w:t>This momentum comes as AI is reshaping how work gets done, and we are seeing increased demand for FranklinCovey's expertise in helping organizations strengthen the human side of execution—leadership, trust, change management, sales performance, collaboration, and disciplined execution. FranklinCovey is uniquely positioned as a long-term performance partner, helping organizations navigate AI</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driven opportunities and complexities to deliver sustained performance.”</w:t>
      </w:r>
    </w:p>
    <w:p>
      <w:pPr>
        <w:spacing w:after="0" w:line="203"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 xml:space="preserve">Jessi Betjemann, Chief Financial Officer said, “In the second quarter, we translated operational momentum into improved profitability and strong cash generation. Adjusted EBITDA increased to $4.1 million, operating cash flow was $16.3 million, and free cash flow improved to $13.2 million. We also returned $17.0 million to shareholders through the repurchase of approximately 947,000 shares, while maintaining $76 million of liquidity. </w:t>
      </w:r>
      <w:r>
        <w:rPr>
          <w:rFonts w:ascii="Times New Roman" w:cs="Times New Roman" w:eastAsia="Times New Roman" w:hAnsi="Times New Roman"/>
          <w:sz w:val="21"/>
          <w:szCs w:val="21"/>
          <w:color w:val="auto"/>
        </w:rPr>
        <w:t>W</w:t>
      </w:r>
      <w:r>
        <w:rPr>
          <w:rFonts w:ascii="Times New Roman" w:cs="Times New Roman" w:eastAsia="Times New Roman" w:hAnsi="Times New Roman"/>
          <w:sz w:val="20"/>
          <w:szCs w:val="20"/>
          <w:color w:val="auto"/>
        </w:rPr>
        <w:t>e are reaffirming our FY2026 guidance of total revenue of $265 to $275 million and Adjusted EBITDA of $28 to $33 million, in constant currency.”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Fiscal 2026 Guidance</w:t>
      </w:r>
    </w:p>
    <w:p>
      <w:pPr>
        <w:spacing w:after="0" w:line="233" w:lineRule="exact"/>
        <w:rPr>
          <w:sz w:val="20"/>
          <w:szCs w:val="20"/>
          <w:color w:val="auto"/>
        </w:rPr>
      </w:pPr>
    </w:p>
    <w:p>
      <w:pPr>
        <w:ind w:right="1160"/>
        <w:spacing w:after="0" w:line="269" w:lineRule="auto"/>
        <w:rPr>
          <w:sz w:val="20"/>
          <w:szCs w:val="20"/>
          <w:color w:val="auto"/>
        </w:rPr>
      </w:pPr>
      <w:r>
        <w:rPr>
          <w:rFonts w:ascii="Times New Roman" w:cs="Times New Roman" w:eastAsia="Times New Roman" w:hAnsi="Times New Roman"/>
          <w:sz w:val="20"/>
          <w:szCs w:val="20"/>
          <w:color w:val="auto"/>
        </w:rPr>
        <w:t>The Company expects to return to growth in both revenue and Adjusted EBITDA in FY2026 as the benefits of its go-to-market transformation and cost reduction actions begin to increase revenue, lower costs, and flow through improved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on current expectations, the Company affirms the following guidance, in constant currency:</w:t>
      </w:r>
    </w:p>
    <w:p>
      <w:pPr>
        <w:spacing w:after="0" w:line="229" w:lineRule="exact"/>
        <w:rPr>
          <w:sz w:val="20"/>
          <w:szCs w:val="20"/>
          <w:color w:val="auto"/>
        </w:rPr>
      </w:pPr>
    </w:p>
    <w:p>
      <w:pPr>
        <w:ind w:left="1540" w:hanging="514"/>
        <w:spacing w:after="0"/>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 in the range of $265 million to $275 million.</w:t>
      </w:r>
    </w:p>
    <w:p>
      <w:pPr>
        <w:spacing w:after="0" w:line="21" w:lineRule="exact"/>
        <w:rPr>
          <w:rFonts w:ascii="Times New Roman" w:cs="Times New Roman" w:eastAsia="Times New Roman" w:hAnsi="Times New Roman"/>
          <w:sz w:val="20"/>
          <w:szCs w:val="20"/>
          <w:color w:val="auto"/>
        </w:rPr>
      </w:pPr>
    </w:p>
    <w:p>
      <w:pPr>
        <w:ind w:left="1540" w:hanging="514"/>
        <w:spacing w:after="0"/>
        <w:tabs>
          <w:tab w:leader="none" w:pos="15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in the range of $28 million to $33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line="249" w:lineRule="auto"/>
        <w:rPr>
          <w:sz w:val="20"/>
          <w:szCs w:val="20"/>
          <w:color w:val="auto"/>
        </w:rPr>
      </w:pPr>
      <w:r>
        <w:rPr>
          <w:rFonts w:ascii="Times New Roman" w:cs="Times New Roman" w:eastAsia="Times New Roman" w:hAnsi="Times New Roman"/>
          <w:sz w:val="20"/>
          <w:szCs w:val="20"/>
          <w:color w:val="auto"/>
        </w:rPr>
        <w:t>This guidance reflects the positive momentum the Company is seeing and expecting in both the Enterprise and Education divisions, balanced with a disciplined view of the risks and opportunities ahead as it continues to execute in an uncertain macro environment. The Company anticipates strong invoiced growth in FY2026 which the Company believes will translate into meaningful reported growth in revenue and Adjusted EBITDA in FY2027.</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Earnings Conference Call</w:t>
      </w:r>
    </w:p>
    <w:p>
      <w:pPr>
        <w:spacing w:after="0" w:line="233"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0"/>
          <w:szCs w:val="20"/>
          <w:color w:val="auto"/>
        </w:rPr>
        <w:t xml:space="preserve">On Wednesday, April 1, 2026, at 5:00 p.m. Eastern (3:00 p.m. Mountain Time) Franklin Covey will host a conference call to review its second quarter fiscal 2026 financial results. Interested persons may access a live audio webcast at </w:t>
      </w:r>
      <w:r>
        <w:rPr>
          <w:rFonts w:ascii="Times New Roman" w:cs="Times New Roman" w:eastAsia="Times New Roman" w:hAnsi="Times New Roman"/>
          <w:sz w:val="20"/>
          <w:szCs w:val="20"/>
          <w:u w:val="single" w:color="auto"/>
          <w:color w:val="0000FF"/>
        </w:rPr>
        <w:t>https://edge.media-server.com/mmc/p/qux2545x</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or may participate via telephone by registering at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1"/>
          <w:szCs w:val="21"/>
          <w:u w:val="single" w:color="auto"/>
          <w:color w:val="0000FF"/>
        </w:rPr>
        <w:t>https://register-conf.media-server.com/register/BI2c1e170bc74e4643ad0d7d53976bef49</w:t>
      </w:r>
      <w:r>
        <w:rPr>
          <w:rFonts w:ascii="Times New Roman" w:cs="Times New Roman" w:eastAsia="Times New Roman" w:hAnsi="Times New Roman"/>
          <w:sz w:val="19"/>
          <w:szCs w:val="19"/>
          <w:color w:val="000000"/>
        </w:rPr>
        <w:t>. Once registered, participants will have the option of 1) dialing into the</w:t>
      </w:r>
      <w:r>
        <w:rPr>
          <w:rFonts w:ascii="Times New Roman" w:cs="Times New Roman" w:eastAsia="Times New Roman" w:hAnsi="Times New Roman"/>
          <w:sz w:val="21"/>
          <w:szCs w:val="21"/>
          <w:color w:val="0000FF"/>
        </w:rPr>
        <w:t xml:space="preserve"> </w:t>
      </w:r>
      <w:r>
        <w:rPr>
          <w:rFonts w:ascii="Times New Roman" w:cs="Times New Roman" w:eastAsia="Times New Roman" w:hAnsi="Times New Roman"/>
          <w:sz w:val="19"/>
          <w:szCs w:val="19"/>
          <w:color w:val="000000"/>
        </w:rPr>
        <w:t>call from their phone (via a personalized PIN); or 2) clicking the “Call Me” option to receive an automated call directly to their phone. For either option, registration will be required to access the call. A replay of the conference call webcast will be archived on the Company’s website for at least 30 days.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Forward-Looking Statements</w:t>
      </w:r>
    </w:p>
    <w:p>
      <w:pPr>
        <w:spacing w:after="0" w:line="233"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including those statements related to the Company’s future results and profitability and other goals relating to the growth and operations of the Company. Forward-looking statements are based upon management’s current expectations and are subject to various risks and uncertainties including, but not limited to: general macroeconomic conditions; renewals of subscription contracts; the impact of strategic projects and initiatives on future financial results; growth in and client demand for add-on services; market acceptance of new products or services, including new AAP portal upgrades and content launches; impacts from geopolitical trade tensions and the general business environment; and other factors identified and discussed in the Company’s most recent Annual Report on Form 10-K and other periodic reports filed with the Securities and Exchange Commission. Many of these conditions are beyond the Company’s control or influence, any one of which may cause future results to differ materially from the Company’s current expectations, and there can be no assurance that the Company’s actual future performance will meet management’s expectations. These forward-looking statements are based on management’s current expectations, and the Company undertakes no obligation to update or revise these forward-looking statements to reflect events or circumstances subsequent to this press release.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Non-GAAP Financial Information</w:t>
      </w:r>
    </w:p>
    <w:p>
      <w:pPr>
        <w:spacing w:after="0" w:line="233"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This earnings release includes the concepts of Adjusted EBITDA and Free Cash Flow which are non-GAAP measures. The Company defines Adjusted EBITDA as net income or loss excluding the impact of interest, income taxes, intangible asset amortization, depreciation, stock-based compensation expense, and certain other infrequently occurring items such as restructuring and building exit costs. Free Cash Flow is defined as GAAP calculated cash flows from operating activities less capitalized expenditures for purchases of property and equipment, curriculum development, and content or license rights. The Company references these non-GAAP financial measures in its decision-making because they provide supplemental information that facilitates consistent internal comparisons to the historical operating performance of prior periods, and the Company believes they provide investors with greater transparency to evaluate operational activities and financial results. Refer to the attached tables for the reconciliation of the non-GAAP financial measure, Adjusted EBITDA, to consolidated net income (loss), a related GAAP financial measure, and for the calculation of Free Cash Flow.</w:t>
      </w:r>
    </w:p>
    <w:p>
      <w:pPr>
        <w:spacing w:after="0" w:line="199"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The Company is unable to provide a reconciliation of the above forward-looking estimate of non-GAAP Adjusted EBITDA to GAAP measures because certain information needed to make a reasonable forward-looking estimate is difficult to obtain and dependent on future events which may be uncertain, or out of the Company’s control, including the amount of AAP contracts invoiced, the number of AAP contracts that are renewed, necessary costs to deliver the Company’s offerings, such as unanticipated curriculum development costs, and other potential variables. Accordingly, a reconciliation is not available without unreasonable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513715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Franklin Covey Co.</w:t>
      </w:r>
    </w:p>
    <w:p>
      <w:pPr>
        <w:spacing w:after="0" w:line="233"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Franklin Covey Co. (NYSE: FC), a global leadership and organizational performance partner, gives strategy the human edge. We help clients achieve breakthrough results and transform how they execute strategy at scale.</w:t>
      </w:r>
    </w:p>
    <w:p>
      <w:pPr>
        <w:spacing w:after="0" w:line="173"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20"/>
          <w:szCs w:val="20"/>
          <w:color w:val="auto"/>
        </w:rPr>
        <w:t>Our Enterprise and Education Divisions develop high-performing leaders at all levels of the organization and align people around purpose and priorities. Through proven, principle-centered frameworks and practices, we build high-trust leaders, teams, and cultures and help organizations translate strategy into consistent execution.</w:t>
      </w:r>
    </w:p>
    <w:p>
      <w:pPr>
        <w:spacing w:after="0" w:line="188" w:lineRule="exact"/>
        <w:rPr>
          <w:sz w:val="20"/>
          <w:szCs w:val="20"/>
          <w:color w:val="auto"/>
        </w:rPr>
      </w:pPr>
    </w:p>
    <w:p>
      <w:pPr>
        <w:jc w:val="both"/>
        <w:ind w:right="140"/>
        <w:spacing w:after="0" w:line="254" w:lineRule="auto"/>
        <w:rPr>
          <w:sz w:val="20"/>
          <w:szCs w:val="20"/>
          <w:color w:val="auto"/>
        </w:rPr>
      </w:pPr>
      <w:r>
        <w:rPr>
          <w:rFonts w:ascii="Times New Roman" w:cs="Times New Roman" w:eastAsia="Times New Roman" w:hAnsi="Times New Roman"/>
          <w:sz w:val="20"/>
          <w:szCs w:val="20"/>
          <w:color w:val="auto"/>
        </w:rPr>
        <w:t>Our approach enables lasting, repeatable results by helping clients identify, align, and execute their most important priorities. This approach has been tested and refined through more than 40 years of work with tens of thousands of leaders and organizations – from Fortune 100 and 500 companies to small and mid-sized businesses, as well as educational institutions and government entities.</w:t>
      </w:r>
    </w:p>
    <w:p>
      <w:pPr>
        <w:spacing w:after="0" w:line="188" w:lineRule="exact"/>
        <w:rPr>
          <w:sz w:val="20"/>
          <w:szCs w:val="20"/>
          <w:color w:val="auto"/>
        </w:rPr>
      </w:pPr>
    </w:p>
    <w:p>
      <w:pPr>
        <w:jc w:val="both"/>
        <w:ind w:right="140"/>
        <w:spacing w:after="0" w:line="249" w:lineRule="auto"/>
        <w:rPr>
          <w:sz w:val="20"/>
          <w:szCs w:val="20"/>
          <w:color w:val="auto"/>
        </w:rPr>
      </w:pPr>
      <w:r>
        <w:rPr>
          <w:rFonts w:ascii="Times New Roman" w:cs="Times New Roman" w:eastAsia="Times New Roman" w:hAnsi="Times New Roman"/>
          <w:sz w:val="20"/>
          <w:szCs w:val="20"/>
          <w:color w:val="auto"/>
        </w:rPr>
        <w:t>We provide professional services in over 160 countries and territories through directly owned operations and licensee partners, serving both enterprise and education clients. Our solutions are delivered through the FranklinCovey All Access Pass® and Leader in Me® subscriptions which combine world-class content and tools with the trusted expertise of consultants, coaches, and facilitators and are available in multiple modalities and in more than 20 languages.</w:t>
      </w:r>
    </w:p>
    <w:p>
      <w:pPr>
        <w:spacing w:after="0" w:line="193"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 xml:space="preserve">Learn more at </w:t>
      </w:r>
      <w:r>
        <w:rPr>
          <w:rFonts w:ascii="Times New Roman" w:cs="Times New Roman" w:eastAsia="Times New Roman" w:hAnsi="Times New Roman"/>
          <w:sz w:val="20"/>
          <w:szCs w:val="20"/>
          <w:u w:val="single" w:color="auto"/>
          <w:color w:val="0000FF"/>
        </w:rPr>
        <w:t>www.franklincovey.com</w:t>
      </w:r>
      <w:r>
        <w:rPr>
          <w:rFonts w:ascii="Times New Roman" w:cs="Times New Roman" w:eastAsia="Times New Roman" w:hAnsi="Times New Roman"/>
          <w:sz w:val="20"/>
          <w:szCs w:val="20"/>
          <w:color w:val="auto"/>
        </w:rPr>
        <w:t xml:space="preserve"> and explore exclusive content across our social media channels: LinkedIn, Facebook, X, Instagram, and YouTube.</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Investor Contact:</w:t>
            </w:r>
          </w:p>
        </w:tc>
        <w:tc>
          <w:tcPr>
            <w:tcW w:w="62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Media Contact:</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Franklin Covey</w:t>
            </w:r>
          </w:p>
        </w:tc>
        <w:tc>
          <w:tcPr>
            <w:tcW w:w="62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Franklin Covey</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Boyd Roberts</w:t>
            </w:r>
          </w:p>
        </w:tc>
        <w:tc>
          <w:tcPr>
            <w:tcW w:w="62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Debra Lund</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801-817-5127</w:t>
            </w:r>
          </w:p>
        </w:tc>
        <w:tc>
          <w:tcPr>
            <w:tcW w:w="62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801-817-6440</w:t>
            </w: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investor.relations@franklincovey.com</w:t>
            </w:r>
          </w:p>
        </w:tc>
        <w:tc>
          <w:tcPr>
            <w:tcW w:w="620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Debra.Lund@franklincovey.com</w:t>
            </w:r>
          </w:p>
        </w:tc>
      </w:tr>
      <w:tr>
        <w:trPr>
          <w:trHeight w:val="2842"/>
        </w:trPr>
        <w:tc>
          <w:tcPr>
            <w:tcW w:w="5040" w:type="dxa"/>
            <w:vAlign w:val="bottom"/>
            <w:tcBorders>
              <w:bottom w:val="single" w:sz="8" w:color="9A9A9A"/>
            </w:tcBorders>
          </w:tcPr>
          <w:p>
            <w:pPr>
              <w:spacing w:after="0"/>
              <w:rPr>
                <w:sz w:val="24"/>
                <w:szCs w:val="24"/>
                <w:color w:val="auto"/>
              </w:rPr>
            </w:pPr>
          </w:p>
        </w:tc>
        <w:tc>
          <w:tcPr>
            <w:tcW w:w="6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7" w:name="page8"/>
    <w:bookmarkEnd w:id="7"/>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FRANKLIN COVEY CO.</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thousands, except per-share amounts, and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color w:val="auto"/>
              </w:rPr>
              <w:t>Quarter Ended</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Two Quarters Ended</w:t>
            </w:r>
          </w:p>
        </w:tc>
      </w:tr>
      <w:tr>
        <w:trPr>
          <w:trHeight w:val="191"/>
        </w:trPr>
        <w:tc>
          <w:tcPr>
            <w:tcW w:w="4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260"/>
              <w:spacing w:after="0" w:line="191" w:lineRule="exact"/>
              <w:rPr>
                <w:sz w:val="20"/>
                <w:szCs w:val="20"/>
                <w:color w:val="auto"/>
              </w:rPr>
            </w:pPr>
            <w:r>
              <w:rPr>
                <w:rFonts w:ascii="Times New Roman" w:cs="Times New Roman" w:eastAsia="Times New Roman" w:hAnsi="Times New Roman"/>
                <w:sz w:val="18"/>
                <w:szCs w:val="18"/>
                <w:color w:val="auto"/>
                <w:w w:val="97"/>
              </w:rPr>
              <w:t>February 28,</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97"/>
              </w:rPr>
              <w:t>February 28,</w:t>
            </w: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Borders>
              <w:top w:val="single" w:sz="8" w:color="auto"/>
            </w:tcBorders>
            <w:gridSpan w:val="3"/>
          </w:tcPr>
          <w:p>
            <w:pPr>
              <w:jc w:val="right"/>
              <w:ind w:right="240"/>
              <w:spacing w:after="0" w:line="191" w:lineRule="exact"/>
              <w:rPr>
                <w:sz w:val="20"/>
                <w:szCs w:val="20"/>
                <w:color w:val="auto"/>
              </w:rPr>
            </w:pPr>
            <w:r>
              <w:rPr>
                <w:rFonts w:ascii="Times New Roman" w:cs="Times New Roman" w:eastAsia="Times New Roman" w:hAnsi="Times New Roman"/>
                <w:sz w:val="18"/>
                <w:szCs w:val="18"/>
                <w:color w:val="auto"/>
              </w:rPr>
              <w:t>February 28,</w:t>
            </w:r>
          </w:p>
        </w:tc>
        <w:tc>
          <w:tcPr>
            <w:tcW w:w="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February 28,</w:t>
            </w:r>
          </w:p>
        </w:tc>
        <w:tc>
          <w:tcPr>
            <w:tcW w:w="100" w:type="dxa"/>
            <w:vAlign w:val="bottom"/>
          </w:tcPr>
          <w:p>
            <w:pPr>
              <w:spacing w:after="0"/>
              <w:rPr>
                <w:sz w:val="16"/>
                <w:szCs w:val="16"/>
                <w:color w:val="auto"/>
              </w:rPr>
            </w:pPr>
          </w:p>
        </w:tc>
      </w:tr>
      <w:tr>
        <w:trPr>
          <w:trHeight w:val="234"/>
        </w:trPr>
        <w:tc>
          <w:tcPr>
            <w:tcW w:w="4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09"/>
        </w:trPr>
        <w:tc>
          <w:tcPr>
            <w:tcW w:w="4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59,612</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123,692</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128,698</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30,241</w:t>
            </w:r>
          </w:p>
        </w:tc>
        <w:tc>
          <w:tcPr>
            <w:tcW w:w="100" w:type="dxa"/>
            <w:vAlign w:val="bottom"/>
          </w:tcPr>
          <w:p>
            <w:pPr>
              <w:spacing w:after="0"/>
              <w:rPr>
                <w:sz w:val="18"/>
                <w:szCs w:val="18"/>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98,457</w:t>
            </w:r>
          </w:p>
        </w:tc>
        <w:tc>
          <w:tcPr>
            <w:tcW w:w="100" w:type="dxa"/>
            <w:vAlign w:val="bottom"/>
            <w:shd w:val="clear" w:color="auto" w:fill="CCEEFF"/>
          </w:tcPr>
          <w:p>
            <w:pPr>
              <w:spacing w:after="0"/>
              <w:rPr>
                <w:sz w:val="18"/>
                <w:szCs w:val="18"/>
                <w:color w:val="auto"/>
              </w:rPr>
            </w:pPr>
          </w:p>
        </w:tc>
      </w:tr>
      <w:tr>
        <w:trPr>
          <w:trHeight w:val="43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45,087</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89,618</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92,291</w:t>
            </w:r>
          </w:p>
        </w:tc>
        <w:tc>
          <w:tcPr>
            <w:tcW w:w="100" w:type="dxa"/>
            <w:vAlign w:val="bottom"/>
          </w:tcPr>
          <w:p>
            <w:pPr>
              <w:spacing w:after="0"/>
              <w:rPr>
                <w:sz w:val="24"/>
                <w:szCs w:val="24"/>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Building exit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8"/>
                <w:szCs w:val="18"/>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(1,455)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(1,348)</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4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(1,982)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(1,076)</w:t>
            </w:r>
          </w:p>
        </w:tc>
        <w:tc>
          <w:tcPr>
            <w:tcW w:w="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(5,271)</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00" w:type="dxa"/>
            <w:vAlign w:val="bottom"/>
            <w:shd w:val="clear" w:color="auto" w:fill="CCEEFF"/>
          </w:tcPr>
          <w:p>
            <w:pPr>
              <w:spacing w:after="0"/>
              <w:rPr>
                <w:sz w:val="21"/>
                <w:szCs w:val="21"/>
                <w:color w:val="auto"/>
              </w:rPr>
            </w:pPr>
          </w:p>
        </w:tc>
      </w:tr>
      <w:tr>
        <w:trPr>
          <w:trHeight w:val="413"/>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14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16"/>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 and diluted</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(0.08)</w:t>
            </w:r>
          </w:p>
        </w:tc>
        <w:tc>
          <w:tcPr>
            <w:tcW w:w="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r>
      <w:tr>
        <w:trPr>
          <w:trHeight w:val="43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13,097</w:t>
            </w:r>
          </w:p>
        </w:tc>
        <w:tc>
          <w:tcPr>
            <w:tcW w:w="100" w:type="dxa"/>
            <w:vAlign w:val="bottom"/>
            <w:shd w:val="clear" w:color="auto" w:fill="CCEEFF"/>
          </w:tcPr>
          <w:p>
            <w:pPr>
              <w:spacing w:after="0"/>
              <w:rPr>
                <w:sz w:val="18"/>
                <w:szCs w:val="18"/>
                <w:color w:val="auto"/>
              </w:rPr>
            </w:pPr>
          </w:p>
        </w:tc>
      </w:tr>
      <w:tr>
        <w:trPr>
          <w:trHeight w:val="234"/>
        </w:trPr>
        <w:tc>
          <w:tcPr>
            <w:tcW w:w="4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w:t>
            </w:r>
          </w:p>
        </w:tc>
        <w:tc>
          <w:tcPr>
            <w:tcW w:w="100" w:type="dxa"/>
            <w:vAlign w:val="bottom"/>
          </w:tcPr>
          <w:p>
            <w:pPr>
              <w:spacing w:after="0"/>
              <w:rPr>
                <w:sz w:val="20"/>
                <w:szCs w:val="20"/>
                <w:color w:val="auto"/>
              </w:rPr>
            </w:pPr>
          </w:p>
        </w:tc>
      </w:tr>
      <w:tr>
        <w:trPr>
          <w:trHeight w:val="41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data:</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41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(1)</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3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1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shd w:val="clear" w:color="auto" w:fill="CCEEFF"/>
          </w:tcPr>
          <w:p>
            <w:pPr>
              <w:spacing w:after="0"/>
              <w:rPr>
                <w:sz w:val="20"/>
                <w:szCs w:val="20"/>
                <w:color w:val="auto"/>
              </w:rPr>
            </w:pPr>
          </w:p>
        </w:tc>
      </w:tr>
      <w:tr>
        <w:trPr>
          <w:trHeight w:val="20"/>
        </w:trPr>
        <w:tc>
          <w:tcPr>
            <w:tcW w:w="4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-1422400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-1405255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-1422400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-1405255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-1422400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-1405255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-24765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240" w:firstLine="8"/>
        <w:spacing w:after="0" w:line="275" w:lineRule="auto"/>
        <w:tabs>
          <w:tab w:leader="none" w:pos="27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(earnings before interest, income taxes, depreciation, amortization, stock-based compensation, and certain other items) is a non-GAAP financial measure that the Company believes is useful to investors in evaluating its results. For a reconciliation of this non-GAAP measure to a comparable GAAP measure, refer to the Reconciliation of Net Income (Loss) to Adjusted EBITDA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2735580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FRANKLIN COVEY CO.</w:t>
      </w:r>
    </w:p>
    <w:p>
      <w:pPr>
        <w:spacing w:after="0" w:line="3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Net Income (Loss) to Adjusted EBITDA</w:t>
      </w:r>
    </w:p>
    <w:p>
      <w:pPr>
        <w:spacing w:after="0" w:line="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(in thousands and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6"/>
          </w:tcPr>
          <w:p>
            <w:pPr>
              <w:jc w:val="right"/>
              <w:ind w:right="1220"/>
              <w:spacing w:after="0"/>
              <w:rPr>
                <w:sz w:val="20"/>
                <w:szCs w:val="20"/>
                <w:color w:val="auto"/>
              </w:rPr>
            </w:pPr>
            <w:r>
              <w:rPr>
                <w:rFonts w:ascii="Times New Roman" w:cs="Times New Roman" w:eastAsia="Times New Roman" w:hAnsi="Times New Roman"/>
                <w:sz w:val="18"/>
                <w:szCs w:val="18"/>
                <w:color w:val="auto"/>
              </w:rPr>
              <w:t>Quarter Ended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color w:val="auto"/>
              </w:rPr>
              <w:t>Two Quarters Ended</w:t>
            </w:r>
          </w:p>
        </w:tc>
        <w:tc>
          <w:tcPr>
            <w:tcW w:w="0" w:type="dxa"/>
            <w:vAlign w:val="bottom"/>
          </w:tcPr>
          <w:p>
            <w:pPr>
              <w:spacing w:after="0"/>
              <w:rPr>
                <w:sz w:val="1"/>
                <w:szCs w:val="1"/>
                <w:color w:val="auto"/>
              </w:rPr>
            </w:pPr>
          </w:p>
        </w:tc>
      </w:tr>
      <w:tr>
        <w:trPr>
          <w:trHeight w:val="191"/>
        </w:trPr>
        <w:tc>
          <w:tcPr>
            <w:tcW w:w="47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520"/>
              <w:spacing w:after="0" w:line="191" w:lineRule="exact"/>
              <w:rPr>
                <w:sz w:val="20"/>
                <w:szCs w:val="20"/>
                <w:color w:val="auto"/>
              </w:rPr>
            </w:pPr>
            <w:r>
              <w:rPr>
                <w:rFonts w:ascii="Times New Roman" w:cs="Times New Roman" w:eastAsia="Times New Roman" w:hAnsi="Times New Roman"/>
                <w:sz w:val="18"/>
                <w:szCs w:val="18"/>
                <w:color w:val="auto"/>
              </w:rPr>
              <w:t>February 28,</w:t>
            </w: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February 28,</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ind w:right="560"/>
              <w:spacing w:after="0" w:line="191" w:lineRule="exact"/>
              <w:rPr>
                <w:sz w:val="20"/>
                <w:szCs w:val="20"/>
                <w:color w:val="auto"/>
              </w:rPr>
            </w:pPr>
            <w:r>
              <w:rPr>
                <w:rFonts w:ascii="Times New Roman" w:cs="Times New Roman" w:eastAsia="Times New Roman" w:hAnsi="Times New Roman"/>
                <w:sz w:val="18"/>
                <w:szCs w:val="18"/>
                <w:color w:val="auto"/>
              </w:rPr>
              <w:t>February 28,</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February 28,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Reconciliation of net income (loss) to Adjusted EBITDA:</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Restructuring costs</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BFF"/>
          </w:tcPr>
          <w:p>
            <w:pPr>
              <w:ind w:left="460"/>
              <w:spacing w:after="0"/>
              <w:rPr>
                <w:sz w:val="20"/>
                <w:szCs w:val="20"/>
                <w:color w:val="auto"/>
              </w:rPr>
            </w:pPr>
            <w:r>
              <w:rPr>
                <w:rFonts w:ascii="Times New Roman" w:cs="Times New Roman" w:eastAsia="Times New Roman" w:hAnsi="Times New Roman"/>
                <w:sz w:val="18"/>
                <w:szCs w:val="18"/>
                <w:color w:val="auto"/>
              </w:rPr>
              <w:t>Building exit costs</w:t>
            </w:r>
          </w:p>
        </w:tc>
        <w:tc>
          <w:tcPr>
            <w:tcW w:w="200" w:type="dxa"/>
            <w:vAlign w:val="bottom"/>
            <w:shd w:val="clear" w:color="auto" w:fill="CCEBFF"/>
          </w:tcPr>
          <w:p>
            <w:pPr>
              <w:spacing w:after="0"/>
              <w:rPr>
                <w:sz w:val="18"/>
                <w:szCs w:val="18"/>
                <w:color w:val="auto"/>
              </w:rPr>
            </w:pPr>
          </w:p>
        </w:tc>
        <w:tc>
          <w:tcPr>
            <w:tcW w:w="130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40" w:type="dxa"/>
            <w:vAlign w:val="bottom"/>
            <w:shd w:val="clear" w:color="auto" w:fill="CCEBFF"/>
          </w:tcPr>
          <w:p>
            <w:pPr>
              <w:spacing w:after="0"/>
              <w:rPr>
                <w:sz w:val="18"/>
                <w:szCs w:val="18"/>
                <w:color w:val="auto"/>
              </w:rPr>
            </w:pPr>
          </w:p>
        </w:tc>
        <w:tc>
          <w:tcPr>
            <w:tcW w:w="1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BFF"/>
          </w:tcPr>
          <w:p>
            <w:pPr>
              <w:spacing w:after="0"/>
              <w:rPr>
                <w:sz w:val="18"/>
                <w:szCs w:val="18"/>
                <w:color w:val="auto"/>
              </w:rPr>
            </w:pPr>
          </w:p>
        </w:tc>
        <w:tc>
          <w:tcPr>
            <w:tcW w:w="40" w:type="dxa"/>
            <w:vAlign w:val="bottom"/>
            <w:shd w:val="clear" w:color="auto" w:fill="CCEBFF"/>
          </w:tcPr>
          <w:p>
            <w:pPr>
              <w:spacing w:after="0"/>
              <w:rPr>
                <w:sz w:val="18"/>
                <w:szCs w:val="18"/>
                <w:color w:val="auto"/>
              </w:rPr>
            </w:pPr>
          </w:p>
        </w:tc>
        <w:tc>
          <w:tcPr>
            <w:tcW w:w="180" w:type="dxa"/>
            <w:vAlign w:val="bottom"/>
            <w:shd w:val="clear" w:color="auto" w:fill="CCEBFF"/>
          </w:tcPr>
          <w:p>
            <w:pPr>
              <w:spacing w:after="0"/>
              <w:rPr>
                <w:sz w:val="18"/>
                <w:szCs w:val="18"/>
                <w:color w:val="auto"/>
              </w:rPr>
            </w:pPr>
          </w:p>
        </w:tc>
        <w:tc>
          <w:tcPr>
            <w:tcW w:w="130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280" w:type="dxa"/>
            <w:vAlign w:val="bottom"/>
            <w:shd w:val="clear" w:color="auto" w:fill="CCEBFF"/>
          </w:tcPr>
          <w:p>
            <w:pPr>
              <w:spacing w:after="0"/>
              <w:rPr>
                <w:sz w:val="18"/>
                <w:szCs w:val="18"/>
                <w:color w:val="auto"/>
              </w:rPr>
            </w:pPr>
          </w:p>
        </w:tc>
        <w:tc>
          <w:tcPr>
            <w:tcW w:w="140" w:type="dxa"/>
            <w:vAlign w:val="bottom"/>
            <w:shd w:val="clear" w:color="auto" w:fill="CCEBFF"/>
          </w:tcPr>
          <w:p>
            <w:pPr>
              <w:spacing w:after="0"/>
              <w:rPr>
                <w:sz w:val="18"/>
                <w:szCs w:val="18"/>
                <w:color w:val="auto"/>
              </w:rPr>
            </w:pPr>
          </w:p>
        </w:tc>
        <w:tc>
          <w:tcPr>
            <w:tcW w:w="1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Gain on license liability restructuring</w:t>
            </w:r>
          </w:p>
        </w:tc>
        <w:tc>
          <w:tcPr>
            <w:tcW w:w="2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00" w:type="dxa"/>
            <w:vAlign w:val="bottom"/>
            <w:tcBorders>
              <w:bottom w:val="single" w:sz="8" w:color="CCEBFF"/>
            </w:tcBorders>
            <w:shd w:val="clear" w:color="auto" w:fill="CCEBFF"/>
          </w:tcPr>
          <w:p>
            <w:pPr>
              <w:ind w:left="54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Borders>
              <w:top w:val="single" w:sz="8" w:color="auto"/>
              <w:bottom w:val="single" w:sz="8" w:color="auto"/>
            </w:tcBorders>
            <w:shd w:val="clear" w:color="auto" w:fill="CCEB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220" w:type="dxa"/>
            <w:vAlign w:val="bottom"/>
            <w:tcBorders>
              <w:bottom w:val="single" w:sz="8" w:color="CCEBFF"/>
            </w:tcBorders>
            <w:shd w:val="clear" w:color="auto" w:fill="CCEBFF"/>
          </w:tcPr>
          <w:p>
            <w:pPr>
              <w:spacing w:after="0"/>
              <w:rPr>
                <w:sz w:val="21"/>
                <w:szCs w:val="21"/>
                <w:color w:val="auto"/>
              </w:rPr>
            </w:pPr>
          </w:p>
        </w:tc>
        <w:tc>
          <w:tcPr>
            <w:tcW w:w="80" w:type="dxa"/>
            <w:vAlign w:val="bottom"/>
            <w:tcBorders>
              <w:bottom w:val="single" w:sz="8" w:color="CCEBFF"/>
            </w:tcBorders>
            <w:shd w:val="clear" w:color="auto" w:fill="CCEBFF"/>
          </w:tcPr>
          <w:p>
            <w:pPr>
              <w:spacing w:after="0"/>
              <w:rPr>
                <w:sz w:val="21"/>
                <w:szCs w:val="21"/>
                <w:color w:val="auto"/>
              </w:rPr>
            </w:pPr>
          </w:p>
        </w:tc>
        <w:tc>
          <w:tcPr>
            <w:tcW w:w="140" w:type="dxa"/>
            <w:vAlign w:val="bottom"/>
            <w:tcBorders>
              <w:top w:val="single" w:sz="8" w:color="auto"/>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200" w:type="dxa"/>
            <w:vAlign w:val="bottom"/>
            <w:tcBorders>
              <w:bottom w:val="single" w:sz="8" w:color="CCEBFF"/>
            </w:tcBorders>
            <w:shd w:val="clear" w:color="auto" w:fill="CCEBFF"/>
          </w:tcPr>
          <w:p>
            <w:pPr>
              <w:spacing w:after="0"/>
              <w:rPr>
                <w:sz w:val="21"/>
                <w:szCs w:val="21"/>
                <w:color w:val="auto"/>
              </w:rPr>
            </w:pPr>
          </w:p>
        </w:tc>
        <w:tc>
          <w:tcPr>
            <w:tcW w:w="40" w:type="dxa"/>
            <w:vAlign w:val="bottom"/>
            <w:tcBorders>
              <w:bottom w:val="single" w:sz="8" w:color="CCEBFF"/>
            </w:tcBorders>
            <w:shd w:val="clear" w:color="auto" w:fill="CCEBFF"/>
          </w:tcPr>
          <w:p>
            <w:pPr>
              <w:spacing w:after="0"/>
              <w:rPr>
                <w:sz w:val="21"/>
                <w:szCs w:val="21"/>
                <w:color w:val="auto"/>
              </w:rPr>
            </w:pPr>
          </w:p>
        </w:tc>
        <w:tc>
          <w:tcPr>
            <w:tcW w:w="180" w:type="dxa"/>
            <w:vAlign w:val="bottom"/>
            <w:tcBorders>
              <w:top w:val="single" w:sz="8" w:color="auto"/>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280" w:type="dxa"/>
            <w:vAlign w:val="bottom"/>
            <w:tcBorders>
              <w:bottom w:val="single" w:sz="8" w:color="CCEBFF"/>
            </w:tcBorders>
            <w:shd w:val="clear" w:color="auto" w:fill="CCEBFF"/>
          </w:tcPr>
          <w:p>
            <w:pPr>
              <w:spacing w:after="0"/>
              <w:rPr>
                <w:sz w:val="21"/>
                <w:szCs w:val="21"/>
                <w:color w:val="auto"/>
              </w:rPr>
            </w:pPr>
          </w:p>
        </w:tc>
        <w:tc>
          <w:tcPr>
            <w:tcW w:w="140" w:type="dxa"/>
            <w:vAlign w:val="bottom"/>
            <w:tcBorders>
              <w:top w:val="single" w:sz="8" w:color="auto"/>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80" w:type="dxa"/>
            <w:vAlign w:val="bottom"/>
            <w:tcBorders>
              <w:bottom w:val="single" w:sz="8" w:color="CCEBFF"/>
            </w:tcBorders>
            <w:shd w:val="clear" w:color="auto" w:fill="CCEB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Adjusted EBITDA margin</w:t>
            </w:r>
          </w:p>
        </w:tc>
        <w:tc>
          <w:tcPr>
            <w:tcW w:w="20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3652"/>
        </w:trPr>
        <w:tc>
          <w:tcPr>
            <w:tcW w:w="4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-2631440</wp:posOffset>
            </wp:positionV>
            <wp:extent cx="1111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-2613660</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-2631440</wp:posOffset>
            </wp:positionV>
            <wp:extent cx="1111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-2613660</wp:posOffset>
            </wp:positionV>
            <wp:extent cx="1111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-2631440</wp:posOffset>
            </wp:positionV>
            <wp:extent cx="1117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-2613660</wp:posOffset>
            </wp:positionV>
            <wp:extent cx="1117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-2631440</wp:posOffset>
            </wp:positionV>
            <wp:extent cx="1117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-2613660</wp:posOffset>
            </wp:positionV>
            <wp:extent cx="1117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 w:name="page10"/>
    <w:bookmarkEnd w:id="9"/>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FRANKLIN COVEY CO.</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Financial Information</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thousands and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color w:val="auto"/>
              </w:rPr>
              <w:t>Quarter Ended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color w:val="auto"/>
              </w:rPr>
              <w:t>Two Quarters Ended</w:t>
            </w:r>
          </w:p>
        </w:tc>
        <w:tc>
          <w:tcPr>
            <w:tcW w:w="0" w:type="dxa"/>
            <w:vAlign w:val="bottom"/>
          </w:tcPr>
          <w:p>
            <w:pPr>
              <w:spacing w:after="0"/>
              <w:rPr>
                <w:sz w:val="1"/>
                <w:szCs w:val="1"/>
                <w:color w:val="auto"/>
              </w:rPr>
            </w:pPr>
          </w:p>
        </w:tc>
      </w:tr>
      <w:tr>
        <w:trPr>
          <w:trHeight w:val="191"/>
        </w:trPr>
        <w:tc>
          <w:tcPr>
            <w:tcW w:w="4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right"/>
              <w:ind w:right="340"/>
              <w:spacing w:after="0" w:line="191" w:lineRule="exact"/>
              <w:rPr>
                <w:sz w:val="20"/>
                <w:szCs w:val="20"/>
                <w:color w:val="auto"/>
              </w:rPr>
            </w:pPr>
            <w:r>
              <w:rPr>
                <w:rFonts w:ascii="Times New Roman" w:cs="Times New Roman" w:eastAsia="Times New Roman" w:hAnsi="Times New Roman"/>
                <w:sz w:val="18"/>
                <w:szCs w:val="18"/>
                <w:color w:val="auto"/>
              </w:rPr>
              <w:t>February 28,</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jc w:val="right"/>
              <w:ind w:right="440"/>
              <w:spacing w:after="0" w:line="191" w:lineRule="exact"/>
              <w:rPr>
                <w:sz w:val="20"/>
                <w:szCs w:val="20"/>
                <w:color w:val="auto"/>
              </w:rPr>
            </w:pPr>
            <w:r>
              <w:rPr>
                <w:rFonts w:ascii="Times New Roman" w:cs="Times New Roman" w:eastAsia="Times New Roman" w:hAnsi="Times New Roman"/>
                <w:sz w:val="18"/>
                <w:szCs w:val="18"/>
                <w:color w:val="auto"/>
              </w:rPr>
              <w:t>February 28,</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February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Division/Segment:</w:t>
            </w:r>
          </w:p>
        </w:tc>
        <w:tc>
          <w:tcPr>
            <w:tcW w:w="1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BFF"/>
          </w:tcPr>
          <w:p>
            <w:pPr>
              <w:ind w:left="240"/>
              <w:spacing w:after="0"/>
              <w:rPr>
                <w:sz w:val="20"/>
                <w:szCs w:val="20"/>
                <w:color w:val="auto"/>
              </w:rPr>
            </w:pPr>
            <w:r>
              <w:rPr>
                <w:rFonts w:ascii="Times New Roman" w:cs="Times New Roman" w:eastAsia="Times New Roman" w:hAnsi="Times New Roman"/>
                <w:sz w:val="18"/>
                <w:szCs w:val="18"/>
                <w:color w:val="auto"/>
              </w:rPr>
              <w:t>Enterprise Division:</w:t>
            </w:r>
          </w:p>
        </w:tc>
        <w:tc>
          <w:tcPr>
            <w:tcW w:w="106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14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12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1260" w:type="dxa"/>
            <w:vAlign w:val="bottom"/>
            <w:shd w:val="clear" w:color="auto" w:fill="CCEBFF"/>
          </w:tcPr>
          <w:p>
            <w:pPr>
              <w:spacing w:after="0"/>
              <w:rPr>
                <w:sz w:val="18"/>
                <w:szCs w:val="18"/>
                <w:color w:val="auto"/>
              </w:rPr>
            </w:pPr>
          </w:p>
        </w:tc>
        <w:tc>
          <w:tcPr>
            <w:tcW w:w="18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1200" w:type="dxa"/>
            <w:vAlign w:val="bottom"/>
            <w:shd w:val="clear" w:color="auto" w:fill="CCEBFF"/>
          </w:tcPr>
          <w:p>
            <w:pPr>
              <w:spacing w:after="0"/>
              <w:rPr>
                <w:sz w:val="18"/>
                <w:szCs w:val="18"/>
                <w:color w:val="auto"/>
              </w:rPr>
            </w:pPr>
          </w:p>
        </w:tc>
        <w:tc>
          <w:tcPr>
            <w:tcW w:w="100" w:type="dxa"/>
            <w:vAlign w:val="bottom"/>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 America</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32,484</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34,520</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68,739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BFF"/>
            </w:tcBorders>
            <w:shd w:val="clear" w:color="auto" w:fill="CCEB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060" w:type="dxa"/>
            <w:vAlign w:val="bottom"/>
            <w:tcBorders>
              <w:bottom w:val="single" w:sz="8" w:color="CCEBFF"/>
            </w:tcBorders>
            <w:shd w:val="clear" w:color="auto" w:fill="CCEBFF"/>
          </w:tcPr>
          <w:p>
            <w:pPr>
              <w:spacing w:after="0"/>
              <w:rPr>
                <w:sz w:val="18"/>
                <w:szCs w:val="18"/>
                <w:color w:val="auto"/>
              </w:rPr>
            </w:pPr>
          </w:p>
        </w:tc>
        <w:tc>
          <w:tcPr>
            <w:tcW w:w="120" w:type="dxa"/>
            <w:vAlign w:val="bottom"/>
            <w:tcBorders>
              <w:bottom w:val="single" w:sz="8" w:color="auto"/>
            </w:tcBorders>
            <w:shd w:val="clear" w:color="auto" w:fill="CCEBFF"/>
          </w:tcPr>
          <w:p>
            <w:pPr>
              <w:spacing w:after="0"/>
              <w:rPr>
                <w:sz w:val="18"/>
                <w:szCs w:val="18"/>
                <w:color w:val="auto"/>
              </w:rPr>
            </w:pPr>
          </w:p>
        </w:tc>
        <w:tc>
          <w:tcPr>
            <w:tcW w:w="114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9,154</w:t>
            </w:r>
          </w:p>
        </w:tc>
        <w:tc>
          <w:tcPr>
            <w:tcW w:w="160" w:type="dxa"/>
            <w:vAlign w:val="bottom"/>
            <w:tcBorders>
              <w:bottom w:val="single" w:sz="8" w:color="CCEBFF"/>
            </w:tcBorders>
            <w:shd w:val="clear" w:color="auto" w:fill="CCEBFF"/>
          </w:tcPr>
          <w:p>
            <w:pPr>
              <w:spacing w:after="0"/>
              <w:rPr>
                <w:sz w:val="18"/>
                <w:szCs w:val="18"/>
                <w:color w:val="auto"/>
              </w:rPr>
            </w:pPr>
          </w:p>
        </w:tc>
        <w:tc>
          <w:tcPr>
            <w:tcW w:w="80" w:type="dxa"/>
            <w:vAlign w:val="bottom"/>
            <w:tcBorders>
              <w:bottom w:val="single" w:sz="8" w:color="CCEBFF"/>
            </w:tcBorders>
            <w:shd w:val="clear" w:color="auto" w:fill="CCEBFF"/>
          </w:tcPr>
          <w:p>
            <w:pPr>
              <w:spacing w:after="0"/>
              <w:rPr>
                <w:sz w:val="18"/>
                <w:szCs w:val="18"/>
                <w:color w:val="auto"/>
              </w:rPr>
            </w:pPr>
          </w:p>
        </w:tc>
        <w:tc>
          <w:tcPr>
            <w:tcW w:w="120" w:type="dxa"/>
            <w:vAlign w:val="bottom"/>
            <w:tcBorders>
              <w:bottom w:val="single" w:sz="8" w:color="auto"/>
            </w:tcBorders>
            <w:shd w:val="clear" w:color="auto" w:fill="CCEBFF"/>
          </w:tcPr>
          <w:p>
            <w:pPr>
              <w:spacing w:after="0"/>
              <w:rPr>
                <w:sz w:val="18"/>
                <w:szCs w:val="18"/>
                <w:color w:val="auto"/>
              </w:rPr>
            </w:pPr>
          </w:p>
        </w:tc>
        <w:tc>
          <w:tcPr>
            <w:tcW w:w="112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9,031</w:t>
            </w:r>
          </w:p>
        </w:tc>
        <w:tc>
          <w:tcPr>
            <w:tcW w:w="120" w:type="dxa"/>
            <w:vAlign w:val="bottom"/>
            <w:tcBorders>
              <w:bottom w:val="single" w:sz="8" w:color="CCEBFF"/>
            </w:tcBorders>
            <w:shd w:val="clear" w:color="auto" w:fill="CCEBFF"/>
          </w:tcPr>
          <w:p>
            <w:pPr>
              <w:spacing w:after="0"/>
              <w:rPr>
                <w:sz w:val="18"/>
                <w:szCs w:val="18"/>
                <w:color w:val="auto"/>
              </w:rPr>
            </w:pPr>
          </w:p>
        </w:tc>
        <w:tc>
          <w:tcPr>
            <w:tcW w:w="80" w:type="dxa"/>
            <w:vAlign w:val="bottom"/>
            <w:tcBorders>
              <w:bottom w:val="single" w:sz="8" w:color="CCEBFF"/>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126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20,359</w:t>
            </w:r>
          </w:p>
        </w:tc>
        <w:tc>
          <w:tcPr>
            <w:tcW w:w="180" w:type="dxa"/>
            <w:vAlign w:val="bottom"/>
            <w:tcBorders>
              <w:bottom w:val="single" w:sz="8" w:color="CCEBFF"/>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120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100" w:type="dxa"/>
            <w:vAlign w:val="bottom"/>
            <w:tcBorders>
              <w:bottom w:val="single" w:sz="8" w:color="CCEBFF"/>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BFF"/>
          </w:tcPr>
          <w:p>
            <w:pPr>
              <w:ind w:left="240"/>
              <w:spacing w:after="0"/>
              <w:rPr>
                <w:sz w:val="20"/>
                <w:szCs w:val="20"/>
                <w:color w:val="auto"/>
              </w:rPr>
            </w:pPr>
            <w:r>
              <w:rPr>
                <w:rFonts w:ascii="Times New Roman" w:cs="Times New Roman" w:eastAsia="Times New Roman" w:hAnsi="Times New Roman"/>
                <w:sz w:val="18"/>
                <w:szCs w:val="18"/>
                <w:color w:val="auto"/>
              </w:rPr>
              <w:t>Education Division</w:t>
            </w:r>
          </w:p>
        </w:tc>
        <w:tc>
          <w:tcPr>
            <w:tcW w:w="106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6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15,065</w:t>
            </w:r>
          </w:p>
        </w:tc>
        <w:tc>
          <w:tcPr>
            <w:tcW w:w="12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12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33,593</w:t>
            </w:r>
          </w:p>
        </w:tc>
        <w:tc>
          <w:tcPr>
            <w:tcW w:w="18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120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31,529</w:t>
            </w:r>
          </w:p>
        </w:tc>
        <w:tc>
          <w:tcPr>
            <w:tcW w:w="100" w:type="dxa"/>
            <w:vAlign w:val="bottom"/>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and other</w:t>
            </w:r>
          </w:p>
        </w:tc>
        <w:tc>
          <w:tcPr>
            <w:tcW w:w="1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80" w:type="dxa"/>
            <w:vAlign w:val="bottom"/>
            <w:shd w:val="clear" w:color="auto" w:fill="CCEB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180" w:type="dxa"/>
            <w:vAlign w:val="bottom"/>
            <w:gridSpan w:val="2"/>
            <w:shd w:val="clear" w:color="auto" w:fill="CCEB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59,647</w:t>
            </w:r>
          </w:p>
        </w:tc>
        <w:tc>
          <w:tcPr>
            <w:tcW w:w="160" w:type="dxa"/>
            <w:vAlign w:val="bottom"/>
            <w:shd w:val="clear" w:color="auto" w:fill="CCEBFF"/>
          </w:tcPr>
          <w:p>
            <w:pPr>
              <w:spacing w:after="0"/>
              <w:rPr>
                <w:sz w:val="21"/>
                <w:szCs w:val="21"/>
                <w:color w:val="auto"/>
              </w:rPr>
            </w:pPr>
          </w:p>
        </w:tc>
        <w:tc>
          <w:tcPr>
            <w:tcW w:w="200" w:type="dxa"/>
            <w:vAlign w:val="bottom"/>
            <w:gridSpan w:val="2"/>
            <w:shd w:val="clear" w:color="auto" w:fill="CCEB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59,612</w:t>
            </w:r>
          </w:p>
        </w:tc>
        <w:tc>
          <w:tcPr>
            <w:tcW w:w="120" w:type="dxa"/>
            <w:vAlign w:val="bottom"/>
            <w:shd w:val="clear" w:color="auto" w:fill="CCEBFF"/>
          </w:tcPr>
          <w:p>
            <w:pPr>
              <w:spacing w:after="0"/>
              <w:rPr>
                <w:sz w:val="21"/>
                <w:szCs w:val="21"/>
                <w:color w:val="auto"/>
              </w:rPr>
            </w:pPr>
          </w:p>
        </w:tc>
        <w:tc>
          <w:tcPr>
            <w:tcW w:w="240" w:type="dxa"/>
            <w:vAlign w:val="bottom"/>
            <w:gridSpan w:val="2"/>
            <w:shd w:val="clear" w:color="auto" w:fill="CCEB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123,692</w:t>
            </w:r>
          </w:p>
        </w:tc>
        <w:tc>
          <w:tcPr>
            <w:tcW w:w="180" w:type="dxa"/>
            <w:vAlign w:val="bottom"/>
            <w:shd w:val="clear" w:color="auto" w:fill="CCEBFF"/>
          </w:tcPr>
          <w:p>
            <w:pPr>
              <w:spacing w:after="0"/>
              <w:rPr>
                <w:sz w:val="21"/>
                <w:szCs w:val="21"/>
                <w:color w:val="auto"/>
              </w:rPr>
            </w:pP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128,698</w:t>
            </w:r>
          </w:p>
        </w:tc>
        <w:tc>
          <w:tcPr>
            <w:tcW w:w="100" w:type="dxa"/>
            <w:vAlign w:val="bottom"/>
            <w:shd w:val="clear" w:color="auto" w:fill="CCEB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180" w:type="dxa"/>
            <w:vAlign w:val="bottom"/>
            <w:tcBorders>
              <w:top w:val="single" w:sz="8" w:color="CCEB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 by Division/Segment:</w:t>
            </w:r>
          </w:p>
        </w:tc>
        <w:tc>
          <w:tcPr>
            <w:tcW w:w="1060" w:type="dxa"/>
            <w:vAlign w:val="bottom"/>
            <w:tcBorders>
              <w:top w:val="single" w:sz="8" w:color="CCEB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EBFF"/>
            </w:tcBorders>
          </w:tcPr>
          <w:p>
            <w:pPr>
              <w:spacing w:after="0"/>
              <w:rPr>
                <w:sz w:val="24"/>
                <w:szCs w:val="24"/>
                <w:color w:val="auto"/>
              </w:rPr>
            </w:pPr>
          </w:p>
        </w:tc>
        <w:tc>
          <w:tcPr>
            <w:tcW w:w="80" w:type="dxa"/>
            <w:vAlign w:val="bottom"/>
            <w:tcBorders>
              <w:top w:val="single" w:sz="8" w:color="CCEB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BFF"/>
            </w:tcBorders>
          </w:tcPr>
          <w:p>
            <w:pPr>
              <w:spacing w:after="0"/>
              <w:rPr>
                <w:sz w:val="24"/>
                <w:szCs w:val="24"/>
                <w:color w:val="auto"/>
              </w:rPr>
            </w:pPr>
          </w:p>
        </w:tc>
        <w:tc>
          <w:tcPr>
            <w:tcW w:w="80" w:type="dxa"/>
            <w:vAlign w:val="bottom"/>
            <w:tcBorders>
              <w:top w:val="single" w:sz="8" w:color="CCEB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80" w:type="dxa"/>
            <w:vAlign w:val="bottom"/>
            <w:tcBorders>
              <w:top w:val="single" w:sz="8" w:color="CCEB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B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BFF"/>
          </w:tcPr>
          <w:p>
            <w:pPr>
              <w:ind w:left="240"/>
              <w:spacing w:after="0"/>
              <w:rPr>
                <w:sz w:val="20"/>
                <w:szCs w:val="20"/>
                <w:color w:val="auto"/>
              </w:rPr>
            </w:pPr>
            <w:r>
              <w:rPr>
                <w:rFonts w:ascii="Times New Roman" w:cs="Times New Roman" w:eastAsia="Times New Roman" w:hAnsi="Times New Roman"/>
                <w:sz w:val="18"/>
                <w:szCs w:val="18"/>
                <w:color w:val="auto"/>
              </w:rPr>
              <w:t>Enterprise Division:</w:t>
            </w:r>
          </w:p>
        </w:tc>
        <w:tc>
          <w:tcPr>
            <w:tcW w:w="106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14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12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1260" w:type="dxa"/>
            <w:vAlign w:val="bottom"/>
            <w:shd w:val="clear" w:color="auto" w:fill="CCEBFF"/>
          </w:tcPr>
          <w:p>
            <w:pPr>
              <w:spacing w:after="0"/>
              <w:rPr>
                <w:sz w:val="18"/>
                <w:szCs w:val="18"/>
                <w:color w:val="auto"/>
              </w:rPr>
            </w:pPr>
          </w:p>
        </w:tc>
        <w:tc>
          <w:tcPr>
            <w:tcW w:w="18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1200" w:type="dxa"/>
            <w:vAlign w:val="bottom"/>
            <w:shd w:val="clear" w:color="auto" w:fill="CCEBFF"/>
          </w:tcPr>
          <w:p>
            <w:pPr>
              <w:spacing w:after="0"/>
              <w:rPr>
                <w:sz w:val="18"/>
                <w:szCs w:val="18"/>
                <w:color w:val="auto"/>
              </w:rPr>
            </w:pPr>
          </w:p>
        </w:tc>
        <w:tc>
          <w:tcPr>
            <w:tcW w:w="100" w:type="dxa"/>
            <w:vAlign w:val="bottom"/>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 America</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27,155</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28,974</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BFF"/>
            </w:tcBorders>
            <w:shd w:val="clear" w:color="auto" w:fill="CCEB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060" w:type="dxa"/>
            <w:vAlign w:val="bottom"/>
            <w:tcBorders>
              <w:bottom w:val="single" w:sz="8" w:color="CCEBFF"/>
            </w:tcBorders>
            <w:shd w:val="clear" w:color="auto" w:fill="CCEBFF"/>
          </w:tcPr>
          <w:p>
            <w:pPr>
              <w:spacing w:after="0"/>
              <w:rPr>
                <w:sz w:val="18"/>
                <w:szCs w:val="18"/>
                <w:color w:val="auto"/>
              </w:rPr>
            </w:pPr>
          </w:p>
        </w:tc>
        <w:tc>
          <w:tcPr>
            <w:tcW w:w="120" w:type="dxa"/>
            <w:vAlign w:val="bottom"/>
            <w:tcBorders>
              <w:bottom w:val="single" w:sz="8" w:color="auto"/>
            </w:tcBorders>
            <w:shd w:val="clear" w:color="auto" w:fill="CCEBFF"/>
          </w:tcPr>
          <w:p>
            <w:pPr>
              <w:spacing w:after="0"/>
              <w:rPr>
                <w:sz w:val="18"/>
                <w:szCs w:val="18"/>
                <w:color w:val="auto"/>
              </w:rPr>
            </w:pPr>
          </w:p>
        </w:tc>
        <w:tc>
          <w:tcPr>
            <w:tcW w:w="114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7,073</w:t>
            </w:r>
          </w:p>
        </w:tc>
        <w:tc>
          <w:tcPr>
            <w:tcW w:w="160" w:type="dxa"/>
            <w:vAlign w:val="bottom"/>
            <w:tcBorders>
              <w:bottom w:val="single" w:sz="8" w:color="CCEBFF"/>
            </w:tcBorders>
            <w:shd w:val="clear" w:color="auto" w:fill="CCEBFF"/>
          </w:tcPr>
          <w:p>
            <w:pPr>
              <w:spacing w:after="0"/>
              <w:rPr>
                <w:sz w:val="18"/>
                <w:szCs w:val="18"/>
                <w:color w:val="auto"/>
              </w:rPr>
            </w:pPr>
          </w:p>
        </w:tc>
        <w:tc>
          <w:tcPr>
            <w:tcW w:w="80" w:type="dxa"/>
            <w:vAlign w:val="bottom"/>
            <w:tcBorders>
              <w:bottom w:val="single" w:sz="8" w:color="CCEBFF"/>
            </w:tcBorders>
            <w:shd w:val="clear" w:color="auto" w:fill="CCEBFF"/>
          </w:tcPr>
          <w:p>
            <w:pPr>
              <w:spacing w:after="0"/>
              <w:rPr>
                <w:sz w:val="18"/>
                <w:szCs w:val="18"/>
                <w:color w:val="auto"/>
              </w:rPr>
            </w:pPr>
          </w:p>
        </w:tc>
        <w:tc>
          <w:tcPr>
            <w:tcW w:w="120" w:type="dxa"/>
            <w:vAlign w:val="bottom"/>
            <w:tcBorders>
              <w:bottom w:val="single" w:sz="8" w:color="auto"/>
            </w:tcBorders>
            <w:shd w:val="clear" w:color="auto" w:fill="CCEBFF"/>
          </w:tcPr>
          <w:p>
            <w:pPr>
              <w:spacing w:after="0"/>
              <w:rPr>
                <w:sz w:val="18"/>
                <w:szCs w:val="18"/>
                <w:color w:val="auto"/>
              </w:rPr>
            </w:pPr>
          </w:p>
        </w:tc>
        <w:tc>
          <w:tcPr>
            <w:tcW w:w="112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120" w:type="dxa"/>
            <w:vAlign w:val="bottom"/>
            <w:tcBorders>
              <w:bottom w:val="single" w:sz="8" w:color="CCEBFF"/>
            </w:tcBorders>
            <w:shd w:val="clear" w:color="auto" w:fill="CCEBFF"/>
          </w:tcPr>
          <w:p>
            <w:pPr>
              <w:spacing w:after="0"/>
              <w:rPr>
                <w:sz w:val="18"/>
                <w:szCs w:val="18"/>
                <w:color w:val="auto"/>
              </w:rPr>
            </w:pPr>
          </w:p>
        </w:tc>
        <w:tc>
          <w:tcPr>
            <w:tcW w:w="80" w:type="dxa"/>
            <w:vAlign w:val="bottom"/>
            <w:tcBorders>
              <w:bottom w:val="single" w:sz="8" w:color="CCEBFF"/>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126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180" w:type="dxa"/>
            <w:vAlign w:val="bottom"/>
            <w:tcBorders>
              <w:bottom w:val="single" w:sz="8" w:color="CCEBFF"/>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120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16,036</w:t>
            </w:r>
          </w:p>
        </w:tc>
        <w:tc>
          <w:tcPr>
            <w:tcW w:w="100" w:type="dxa"/>
            <w:vAlign w:val="bottom"/>
            <w:tcBorders>
              <w:bottom w:val="single" w:sz="8" w:color="CCEBFF"/>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BFF"/>
          </w:tcPr>
          <w:p>
            <w:pPr>
              <w:ind w:left="240"/>
              <w:spacing w:after="0"/>
              <w:rPr>
                <w:sz w:val="20"/>
                <w:szCs w:val="20"/>
                <w:color w:val="auto"/>
              </w:rPr>
            </w:pPr>
            <w:r>
              <w:rPr>
                <w:rFonts w:ascii="Times New Roman" w:cs="Times New Roman" w:eastAsia="Times New Roman" w:hAnsi="Times New Roman"/>
                <w:sz w:val="18"/>
                <w:szCs w:val="18"/>
                <w:color w:val="auto"/>
              </w:rPr>
              <w:t>Education Division</w:t>
            </w:r>
          </w:p>
        </w:tc>
        <w:tc>
          <w:tcPr>
            <w:tcW w:w="106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6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2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12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18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120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100" w:type="dxa"/>
            <w:vAlign w:val="bottom"/>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and other</w:t>
            </w:r>
          </w:p>
        </w:tc>
        <w:tc>
          <w:tcPr>
            <w:tcW w:w="1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180" w:type="dxa"/>
            <w:vAlign w:val="bottom"/>
            <w:shd w:val="clear" w:color="auto" w:fill="CCEB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180" w:type="dxa"/>
            <w:vAlign w:val="bottom"/>
            <w:gridSpan w:val="2"/>
            <w:shd w:val="clear" w:color="auto" w:fill="CCEB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45,273</w:t>
            </w:r>
          </w:p>
        </w:tc>
        <w:tc>
          <w:tcPr>
            <w:tcW w:w="160" w:type="dxa"/>
            <w:vAlign w:val="bottom"/>
            <w:shd w:val="clear" w:color="auto" w:fill="CCEBFF"/>
          </w:tcPr>
          <w:p>
            <w:pPr>
              <w:spacing w:after="0"/>
              <w:rPr>
                <w:sz w:val="21"/>
                <w:szCs w:val="21"/>
                <w:color w:val="auto"/>
              </w:rPr>
            </w:pPr>
          </w:p>
        </w:tc>
        <w:tc>
          <w:tcPr>
            <w:tcW w:w="200" w:type="dxa"/>
            <w:vAlign w:val="bottom"/>
            <w:gridSpan w:val="2"/>
            <w:shd w:val="clear" w:color="auto" w:fill="CCEB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45,746</w:t>
            </w:r>
          </w:p>
        </w:tc>
        <w:tc>
          <w:tcPr>
            <w:tcW w:w="120" w:type="dxa"/>
            <w:vAlign w:val="bottom"/>
            <w:shd w:val="clear" w:color="auto" w:fill="CCEBFF"/>
          </w:tcPr>
          <w:p>
            <w:pPr>
              <w:spacing w:after="0"/>
              <w:rPr>
                <w:sz w:val="21"/>
                <w:szCs w:val="21"/>
                <w:color w:val="auto"/>
              </w:rPr>
            </w:pPr>
          </w:p>
        </w:tc>
        <w:tc>
          <w:tcPr>
            <w:tcW w:w="240" w:type="dxa"/>
            <w:vAlign w:val="bottom"/>
            <w:gridSpan w:val="2"/>
            <w:shd w:val="clear" w:color="auto" w:fill="CCEB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93,647</w:t>
            </w:r>
          </w:p>
        </w:tc>
        <w:tc>
          <w:tcPr>
            <w:tcW w:w="180" w:type="dxa"/>
            <w:vAlign w:val="bottom"/>
            <w:shd w:val="clear" w:color="auto" w:fill="CCEBFF"/>
          </w:tcPr>
          <w:p>
            <w:pPr>
              <w:spacing w:after="0"/>
              <w:rPr>
                <w:sz w:val="21"/>
                <w:szCs w:val="21"/>
                <w:color w:val="auto"/>
              </w:rPr>
            </w:pP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98,457</w:t>
            </w:r>
          </w:p>
        </w:tc>
        <w:tc>
          <w:tcPr>
            <w:tcW w:w="100" w:type="dxa"/>
            <w:vAlign w:val="bottom"/>
            <w:shd w:val="clear" w:color="auto" w:fill="CCEB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180" w:type="dxa"/>
            <w:vAlign w:val="bottom"/>
            <w:tcBorders>
              <w:top w:val="single" w:sz="8" w:color="CCEB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 by Division/Segment:</w:t>
            </w:r>
          </w:p>
        </w:tc>
        <w:tc>
          <w:tcPr>
            <w:tcW w:w="1060" w:type="dxa"/>
            <w:vAlign w:val="bottom"/>
            <w:tcBorders>
              <w:top w:val="single" w:sz="8" w:color="CCEB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60" w:type="dxa"/>
            <w:vAlign w:val="bottom"/>
            <w:tcBorders>
              <w:top w:val="single" w:sz="8" w:color="CCEBFF"/>
            </w:tcBorders>
          </w:tcPr>
          <w:p>
            <w:pPr>
              <w:spacing w:after="0"/>
              <w:rPr>
                <w:sz w:val="24"/>
                <w:szCs w:val="24"/>
                <w:color w:val="auto"/>
              </w:rPr>
            </w:pPr>
          </w:p>
        </w:tc>
        <w:tc>
          <w:tcPr>
            <w:tcW w:w="80" w:type="dxa"/>
            <w:vAlign w:val="bottom"/>
            <w:tcBorders>
              <w:top w:val="single" w:sz="8" w:color="CCEB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BFF"/>
            </w:tcBorders>
          </w:tcPr>
          <w:p>
            <w:pPr>
              <w:spacing w:after="0"/>
              <w:rPr>
                <w:sz w:val="24"/>
                <w:szCs w:val="24"/>
                <w:color w:val="auto"/>
              </w:rPr>
            </w:pPr>
          </w:p>
        </w:tc>
        <w:tc>
          <w:tcPr>
            <w:tcW w:w="80" w:type="dxa"/>
            <w:vAlign w:val="bottom"/>
            <w:tcBorders>
              <w:top w:val="single" w:sz="8" w:color="CCEB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80" w:type="dxa"/>
            <w:vAlign w:val="bottom"/>
            <w:tcBorders>
              <w:top w:val="single" w:sz="8" w:color="CCEB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B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BFF"/>
          </w:tcPr>
          <w:p>
            <w:pPr>
              <w:ind w:left="240"/>
              <w:spacing w:after="0"/>
              <w:rPr>
                <w:sz w:val="20"/>
                <w:szCs w:val="20"/>
                <w:color w:val="auto"/>
              </w:rPr>
            </w:pPr>
            <w:r>
              <w:rPr>
                <w:rFonts w:ascii="Times New Roman" w:cs="Times New Roman" w:eastAsia="Times New Roman" w:hAnsi="Times New Roman"/>
                <w:sz w:val="18"/>
                <w:szCs w:val="18"/>
                <w:color w:val="auto"/>
              </w:rPr>
              <w:t>Enterprise Division:</w:t>
            </w:r>
          </w:p>
        </w:tc>
        <w:tc>
          <w:tcPr>
            <w:tcW w:w="106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14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12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1260" w:type="dxa"/>
            <w:vAlign w:val="bottom"/>
            <w:shd w:val="clear" w:color="auto" w:fill="CCEBFF"/>
          </w:tcPr>
          <w:p>
            <w:pPr>
              <w:spacing w:after="0"/>
              <w:rPr>
                <w:sz w:val="18"/>
                <w:szCs w:val="18"/>
                <w:color w:val="auto"/>
              </w:rPr>
            </w:pPr>
          </w:p>
        </w:tc>
        <w:tc>
          <w:tcPr>
            <w:tcW w:w="18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1200" w:type="dxa"/>
            <w:vAlign w:val="bottom"/>
            <w:shd w:val="clear" w:color="auto" w:fill="CCEBFF"/>
          </w:tcPr>
          <w:p>
            <w:pPr>
              <w:spacing w:after="0"/>
              <w:rPr>
                <w:sz w:val="18"/>
                <w:szCs w:val="18"/>
                <w:color w:val="auto"/>
              </w:rPr>
            </w:pPr>
          </w:p>
        </w:tc>
        <w:tc>
          <w:tcPr>
            <w:tcW w:w="100" w:type="dxa"/>
            <w:vAlign w:val="bottom"/>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North America</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1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Borders>
              <w:bottom w:val="single" w:sz="8" w:color="CCEBFF"/>
            </w:tcBorders>
            <w:shd w:val="clear" w:color="auto" w:fill="CCEB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060" w:type="dxa"/>
            <w:vAlign w:val="bottom"/>
            <w:tcBorders>
              <w:bottom w:val="single" w:sz="8" w:color="CCEBFF"/>
            </w:tcBorders>
            <w:shd w:val="clear" w:color="auto" w:fill="CCEBFF"/>
          </w:tcPr>
          <w:p>
            <w:pPr>
              <w:spacing w:after="0"/>
              <w:rPr>
                <w:sz w:val="18"/>
                <w:szCs w:val="18"/>
                <w:color w:val="auto"/>
              </w:rPr>
            </w:pPr>
          </w:p>
        </w:tc>
        <w:tc>
          <w:tcPr>
            <w:tcW w:w="120" w:type="dxa"/>
            <w:vAlign w:val="bottom"/>
            <w:tcBorders>
              <w:bottom w:val="single" w:sz="8" w:color="auto"/>
            </w:tcBorders>
            <w:shd w:val="clear" w:color="auto" w:fill="CCEBFF"/>
          </w:tcPr>
          <w:p>
            <w:pPr>
              <w:spacing w:after="0"/>
              <w:rPr>
                <w:sz w:val="18"/>
                <w:szCs w:val="18"/>
                <w:color w:val="auto"/>
              </w:rPr>
            </w:pPr>
          </w:p>
        </w:tc>
        <w:tc>
          <w:tcPr>
            <w:tcW w:w="114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Borders>
              <w:bottom w:val="single" w:sz="8" w:color="CCEBFF"/>
            </w:tcBorders>
            <w:shd w:val="clear" w:color="auto" w:fill="CCEBFF"/>
          </w:tcPr>
          <w:p>
            <w:pPr>
              <w:spacing w:after="0"/>
              <w:rPr>
                <w:sz w:val="18"/>
                <w:szCs w:val="18"/>
                <w:color w:val="auto"/>
              </w:rPr>
            </w:pPr>
          </w:p>
        </w:tc>
        <w:tc>
          <w:tcPr>
            <w:tcW w:w="80" w:type="dxa"/>
            <w:vAlign w:val="bottom"/>
            <w:tcBorders>
              <w:bottom w:val="single" w:sz="8" w:color="CCEBFF"/>
            </w:tcBorders>
            <w:shd w:val="clear" w:color="auto" w:fill="CCEBFF"/>
          </w:tcPr>
          <w:p>
            <w:pPr>
              <w:spacing w:after="0"/>
              <w:rPr>
                <w:sz w:val="18"/>
                <w:szCs w:val="18"/>
                <w:color w:val="auto"/>
              </w:rPr>
            </w:pPr>
          </w:p>
        </w:tc>
        <w:tc>
          <w:tcPr>
            <w:tcW w:w="120" w:type="dxa"/>
            <w:vAlign w:val="bottom"/>
            <w:tcBorders>
              <w:bottom w:val="single" w:sz="8" w:color="auto"/>
            </w:tcBorders>
            <w:shd w:val="clear" w:color="auto" w:fill="CCEBFF"/>
          </w:tcPr>
          <w:p>
            <w:pPr>
              <w:spacing w:after="0"/>
              <w:rPr>
                <w:sz w:val="18"/>
                <w:szCs w:val="18"/>
                <w:color w:val="auto"/>
              </w:rPr>
            </w:pPr>
          </w:p>
        </w:tc>
        <w:tc>
          <w:tcPr>
            <w:tcW w:w="112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bottom w:val="single" w:sz="8" w:color="CCEBFF"/>
            </w:tcBorders>
            <w:shd w:val="clear" w:color="auto" w:fill="CCEBFF"/>
          </w:tcPr>
          <w:p>
            <w:pPr>
              <w:spacing w:after="0"/>
              <w:rPr>
                <w:sz w:val="18"/>
                <w:szCs w:val="18"/>
                <w:color w:val="auto"/>
              </w:rPr>
            </w:pPr>
          </w:p>
        </w:tc>
        <w:tc>
          <w:tcPr>
            <w:tcW w:w="80" w:type="dxa"/>
            <w:vAlign w:val="bottom"/>
            <w:tcBorders>
              <w:bottom w:val="single" w:sz="8" w:color="CCEBFF"/>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126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80" w:type="dxa"/>
            <w:vAlign w:val="bottom"/>
            <w:tcBorders>
              <w:bottom w:val="single" w:sz="8" w:color="CCEBFF"/>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1200" w:type="dxa"/>
            <w:vAlign w:val="bottom"/>
            <w:tcBorders>
              <w:bottom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Borders>
              <w:bottom w:val="single" w:sz="8" w:color="CCEBFF"/>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BFF"/>
          </w:tcPr>
          <w:p>
            <w:pPr>
              <w:ind w:left="240"/>
              <w:spacing w:after="0"/>
              <w:rPr>
                <w:sz w:val="20"/>
                <w:szCs w:val="20"/>
                <w:color w:val="auto"/>
              </w:rPr>
            </w:pPr>
            <w:r>
              <w:rPr>
                <w:rFonts w:ascii="Times New Roman" w:cs="Times New Roman" w:eastAsia="Times New Roman" w:hAnsi="Times New Roman"/>
                <w:sz w:val="18"/>
                <w:szCs w:val="18"/>
                <w:color w:val="auto"/>
              </w:rPr>
              <w:t>Education Division</w:t>
            </w:r>
          </w:p>
        </w:tc>
        <w:tc>
          <w:tcPr>
            <w:tcW w:w="106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shd w:val="clear" w:color="auto" w:fill="CCEBFF"/>
          </w:tcPr>
          <w:p>
            <w:pPr>
              <w:spacing w:after="0"/>
              <w:rPr>
                <w:sz w:val="18"/>
                <w:szCs w:val="18"/>
                <w:color w:val="auto"/>
              </w:rPr>
            </w:pPr>
          </w:p>
        </w:tc>
        <w:tc>
          <w:tcPr>
            <w:tcW w:w="80" w:type="dxa"/>
            <w:vAlign w:val="bottom"/>
            <w:shd w:val="clear" w:color="auto" w:fill="CCEBFF"/>
          </w:tcPr>
          <w:p>
            <w:pPr>
              <w:spacing w:after="0"/>
              <w:rPr>
                <w:sz w:val="18"/>
                <w:szCs w:val="18"/>
                <w:color w:val="auto"/>
              </w:rPr>
            </w:pPr>
          </w:p>
        </w:tc>
        <w:tc>
          <w:tcPr>
            <w:tcW w:w="120" w:type="dxa"/>
            <w:vAlign w:val="bottom"/>
            <w:shd w:val="clear" w:color="auto" w:fill="CCEBFF"/>
          </w:tcPr>
          <w:p>
            <w:pPr>
              <w:spacing w:after="0"/>
              <w:rPr>
                <w:sz w:val="18"/>
                <w:szCs w:val="18"/>
                <w:color w:val="auto"/>
              </w:rPr>
            </w:pPr>
          </w:p>
        </w:tc>
        <w:tc>
          <w:tcPr>
            <w:tcW w:w="1240" w:type="dxa"/>
            <w:vAlign w:val="bottom"/>
            <w:gridSpan w:val="2"/>
            <w:shd w:val="clear" w:color="auto" w:fill="CCEBFF"/>
          </w:tcPr>
          <w:p>
            <w:pPr>
              <w:jc w:val="right"/>
              <w:ind w:right="6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BFF"/>
          </w:tcPr>
          <w:p>
            <w:pPr>
              <w:spacing w:after="0"/>
              <w:rPr>
                <w:sz w:val="18"/>
                <w:szCs w:val="18"/>
                <w:color w:val="auto"/>
              </w:rPr>
            </w:pPr>
          </w:p>
        </w:tc>
        <w:tc>
          <w:tcPr>
            <w:tcW w:w="160" w:type="dxa"/>
            <w:vAlign w:val="bottom"/>
            <w:shd w:val="clear" w:color="auto" w:fill="CCEBFF"/>
          </w:tcPr>
          <w:p>
            <w:pPr>
              <w:spacing w:after="0"/>
              <w:rPr>
                <w:sz w:val="18"/>
                <w:szCs w:val="18"/>
                <w:color w:val="auto"/>
              </w:rPr>
            </w:pPr>
          </w:p>
        </w:tc>
        <w:tc>
          <w:tcPr>
            <w:tcW w:w="1440" w:type="dxa"/>
            <w:vAlign w:val="bottom"/>
            <w:gridSpan w:val="2"/>
            <w:shd w:val="clear" w:color="auto" w:fill="CCEBFF"/>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BFF"/>
          </w:tcPr>
          <w:p>
            <w:pPr>
              <w:spacing w:after="0"/>
              <w:rPr>
                <w:sz w:val="18"/>
                <w:szCs w:val="18"/>
                <w:color w:val="auto"/>
              </w:rPr>
            </w:pPr>
          </w:p>
        </w:tc>
        <w:tc>
          <w:tcPr>
            <w:tcW w:w="1300" w:type="dxa"/>
            <w:vAlign w:val="bottom"/>
            <w:gridSpan w:val="2"/>
            <w:shd w:val="clear" w:color="auto" w:fill="CCEBFF"/>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and other</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(6,347)</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80" w:type="dxa"/>
            <w:vAlign w:val="bottom"/>
            <w:shd w:val="clear" w:color="auto" w:fill="CCEBFF"/>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180" w:type="dxa"/>
            <w:vAlign w:val="bottom"/>
            <w:gridSpan w:val="2"/>
            <w:shd w:val="clear" w:color="auto" w:fill="CCEB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160" w:type="dxa"/>
            <w:vAlign w:val="bottom"/>
            <w:shd w:val="clear" w:color="auto" w:fill="CCEBFF"/>
          </w:tcPr>
          <w:p>
            <w:pPr>
              <w:spacing w:after="0"/>
              <w:rPr>
                <w:sz w:val="21"/>
                <w:szCs w:val="21"/>
                <w:color w:val="auto"/>
              </w:rPr>
            </w:pPr>
          </w:p>
        </w:tc>
        <w:tc>
          <w:tcPr>
            <w:tcW w:w="200" w:type="dxa"/>
            <w:vAlign w:val="bottom"/>
            <w:gridSpan w:val="2"/>
            <w:shd w:val="clear" w:color="auto" w:fill="CCEB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20" w:type="dxa"/>
            <w:vAlign w:val="bottom"/>
            <w:shd w:val="clear" w:color="auto" w:fill="CCEBFF"/>
          </w:tcPr>
          <w:p>
            <w:pPr>
              <w:spacing w:after="0"/>
              <w:rPr>
                <w:sz w:val="21"/>
                <w:szCs w:val="21"/>
                <w:color w:val="auto"/>
              </w:rPr>
            </w:pPr>
          </w:p>
        </w:tc>
        <w:tc>
          <w:tcPr>
            <w:tcW w:w="240" w:type="dxa"/>
            <w:vAlign w:val="bottom"/>
            <w:gridSpan w:val="2"/>
            <w:shd w:val="clear" w:color="auto" w:fill="CCEB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180" w:type="dxa"/>
            <w:vAlign w:val="bottom"/>
            <w:shd w:val="clear" w:color="auto" w:fill="CCEBFF"/>
          </w:tcPr>
          <w:p>
            <w:pPr>
              <w:spacing w:after="0"/>
              <w:rPr>
                <w:sz w:val="21"/>
                <w:szCs w:val="21"/>
                <w:color w:val="auto"/>
              </w:rPr>
            </w:pP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00" w:type="dxa"/>
            <w:vAlign w:val="bottom"/>
            <w:shd w:val="clear" w:color="auto" w:fill="CCEBFF"/>
          </w:tcPr>
          <w:p>
            <w:pPr>
              <w:spacing w:after="0"/>
              <w:rPr>
                <w:sz w:val="21"/>
                <w:szCs w:val="21"/>
                <w:color w:val="auto"/>
              </w:rPr>
            </w:pPr>
          </w:p>
        </w:tc>
        <w:tc>
          <w:tcPr>
            <w:tcW w:w="0" w:type="dxa"/>
            <w:vAlign w:val="bottom"/>
          </w:tcPr>
          <w:p>
            <w:pPr>
              <w:spacing w:after="0"/>
              <w:rPr>
                <w:sz w:val="1"/>
                <w:szCs w:val="1"/>
                <w:color w:val="auto"/>
              </w:rPr>
            </w:pPr>
          </w:p>
        </w:tc>
      </w:tr>
      <w:tr>
        <w:trPr>
          <w:trHeight w:val="2984"/>
        </w:trPr>
        <w:tc>
          <w:tcPr>
            <w:tcW w:w="4180" w:type="dxa"/>
            <w:vAlign w:val="bottom"/>
            <w:tcBorders>
              <w:top w:val="single" w:sz="8" w:color="CCEBFF"/>
              <w:bottom w:val="single" w:sz="8" w:color="9A9A9A"/>
            </w:tcBorders>
          </w:tcPr>
          <w:p>
            <w:pPr>
              <w:spacing w:after="0"/>
              <w:rPr>
                <w:sz w:val="24"/>
                <w:szCs w:val="24"/>
                <w:color w:val="auto"/>
              </w:rPr>
            </w:pPr>
          </w:p>
        </w:tc>
        <w:tc>
          <w:tcPr>
            <w:tcW w:w="1060" w:type="dxa"/>
            <w:vAlign w:val="bottom"/>
            <w:tcBorders>
              <w:top w:val="single" w:sz="8" w:color="CCEB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14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CEBFF"/>
              <w:bottom w:val="single" w:sz="8" w:color="9A9A9A"/>
            </w:tcBorders>
          </w:tcPr>
          <w:p>
            <w:pPr>
              <w:spacing w:after="0"/>
              <w:rPr>
                <w:sz w:val="24"/>
                <w:szCs w:val="24"/>
                <w:color w:val="auto"/>
              </w:rPr>
            </w:pPr>
          </w:p>
        </w:tc>
        <w:tc>
          <w:tcPr>
            <w:tcW w:w="80" w:type="dxa"/>
            <w:vAlign w:val="bottom"/>
            <w:tcBorders>
              <w:top w:val="single" w:sz="8" w:color="CCEB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1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EBFF"/>
              <w:bottom w:val="single" w:sz="8" w:color="9A9A9A"/>
            </w:tcBorders>
          </w:tcPr>
          <w:p>
            <w:pPr>
              <w:spacing w:after="0"/>
              <w:rPr>
                <w:sz w:val="24"/>
                <w:szCs w:val="24"/>
                <w:color w:val="auto"/>
              </w:rPr>
            </w:pPr>
          </w:p>
        </w:tc>
        <w:tc>
          <w:tcPr>
            <w:tcW w:w="80" w:type="dxa"/>
            <w:vAlign w:val="bottom"/>
            <w:tcBorders>
              <w:top w:val="single" w:sz="8" w:color="CCEB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26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CEBFF"/>
              <w:bottom w:val="single" w:sz="8" w:color="9A9A9A"/>
            </w:tcBorders>
          </w:tcPr>
          <w:p>
            <w:pPr>
              <w:spacing w:after="0"/>
              <w:rPr>
                <w:sz w:val="24"/>
                <w:szCs w:val="24"/>
                <w:color w:val="auto"/>
              </w:rPr>
            </w:pPr>
          </w:p>
        </w:tc>
        <w:tc>
          <w:tcPr>
            <w:tcW w:w="160" w:type="dxa"/>
            <w:vAlign w:val="bottom"/>
            <w:tcBorders>
              <w:top w:val="single" w:sz="8" w:color="auto"/>
              <w:bottom w:val="single" w:sz="8" w:color="9A9A9A"/>
            </w:tcBorders>
          </w:tcPr>
          <w:p>
            <w:pPr>
              <w:spacing w:after="0"/>
              <w:rPr>
                <w:sz w:val="24"/>
                <w:szCs w:val="24"/>
                <w:color w:val="auto"/>
              </w:rPr>
            </w:pPr>
          </w:p>
        </w:tc>
        <w:tc>
          <w:tcPr>
            <w:tcW w:w="12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B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-5065395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-5065395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-5065395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-5065395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-4499610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-4482465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-4499610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-4482465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-4499610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-4482465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-4499610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-4482465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-3788410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-3788410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-3788410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-3788410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-3222625</wp:posOffset>
            </wp:positionV>
            <wp:extent cx="77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-3205480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-3222625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-3205480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-3222625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-3205480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-3205480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-2510790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-2510790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-2510790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-1945005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-1927860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-1945005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-1927860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-1945005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-1927860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FRANKLIN COVEY CO.</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Sheets</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thousands and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February 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August 31,</w:t>
            </w:r>
          </w:p>
        </w:tc>
        <w:tc>
          <w:tcPr>
            <w:tcW w:w="0" w:type="dxa"/>
            <w:vAlign w:val="bottom"/>
          </w:tcPr>
          <w:p>
            <w:pPr>
              <w:spacing w:after="0"/>
              <w:rPr>
                <w:sz w:val="1"/>
                <w:szCs w:val="1"/>
                <w:color w:val="auto"/>
              </w:rPr>
            </w:pPr>
          </w:p>
        </w:tc>
      </w:tr>
      <w:tr>
        <w:trPr>
          <w:trHeight w:val="234"/>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Assets</w:t>
            </w:r>
          </w:p>
        </w:tc>
        <w:tc>
          <w:tcPr>
            <w:tcW w:w="5220" w:type="dxa"/>
            <w:vAlign w:val="bottom"/>
            <w:gridSpan w:val="2"/>
            <w:vMerge w:val="restart"/>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80" w:type="dxa"/>
            <w:vAlign w:val="bottom"/>
            <w:tcBorders>
              <w:bottom w:val="single" w:sz="8" w:color="auto"/>
            </w:tcBorders>
            <w:vMerge w:val="continue"/>
          </w:tcPr>
          <w:p>
            <w:pPr>
              <w:spacing w:after="0"/>
              <w:rPr>
                <w:sz w:val="14"/>
                <w:szCs w:val="14"/>
                <w:color w:val="auto"/>
              </w:rPr>
            </w:pPr>
          </w:p>
        </w:tc>
        <w:tc>
          <w:tcPr>
            <w:tcW w:w="5220" w:type="dxa"/>
            <w:vAlign w:val="bottom"/>
            <w:gridSpan w:val="2"/>
            <w:vMerge w:val="continue"/>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13,717</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gridSpan w:val="3"/>
          </w:tcPr>
          <w:p>
            <w:pPr>
              <w:ind w:left="240"/>
              <w:spacing w:after="0" w:line="198" w:lineRule="exact"/>
              <w:rPr>
                <w:sz w:val="20"/>
                <w:szCs w:val="20"/>
                <w:color w:val="auto"/>
              </w:rPr>
            </w:pPr>
            <w:r>
              <w:rPr>
                <w:rFonts w:ascii="Times New Roman" w:cs="Times New Roman" w:eastAsia="Times New Roman" w:hAnsi="Times New Roman"/>
                <w:sz w:val="18"/>
                <w:szCs w:val="18"/>
                <w:color w:val="auto"/>
              </w:rPr>
              <w:t>Accounts receivable, less allowance for</w:t>
            </w: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credit losses of $2,721 and $2,929</w:t>
            </w: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206,489</w:t>
            </w:r>
          </w:p>
        </w:tc>
        <w:tc>
          <w:tcPr>
            <w:tcW w:w="1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57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19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Current portion of notes payable</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8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deposits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1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9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168,439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176,001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w:t>
            </w:r>
          </w:p>
        </w:tc>
        <w:tc>
          <w:tcPr>
            <w:tcW w:w="0" w:type="dxa"/>
            <w:vAlign w:val="bottom"/>
          </w:tcPr>
          <w:p>
            <w:pPr>
              <w:spacing w:after="0"/>
              <w:rPr>
                <w:sz w:val="1"/>
                <w:szCs w:val="1"/>
                <w:color w:val="auto"/>
              </w:rPr>
            </w:pPr>
          </w:p>
        </w:tc>
      </w:tr>
      <w:tr>
        <w:trPr>
          <w:trHeight w:val="216"/>
        </w:trPr>
        <w:tc>
          <w:tcPr>
            <w:tcW w:w="57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Treasury stock at cost, 15,866 and 14,565 shares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(312,752)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(289,933)</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9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38,050</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3120" w:type="dxa"/>
            <w:vAlign w:val="bottom"/>
            <w:shd w:val="clear" w:color="auto" w:fill="CCEEFF"/>
          </w:tcPr>
          <w:p>
            <w:pPr>
              <w:spacing w:after="0"/>
              <w:rPr>
                <w:sz w:val="21"/>
                <w:szCs w:val="21"/>
                <w:color w:val="auto"/>
              </w:rPr>
            </w:pPr>
          </w:p>
        </w:tc>
        <w:tc>
          <w:tcPr>
            <w:tcW w:w="2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206,489</w:t>
            </w:r>
          </w:p>
        </w:tc>
        <w:tc>
          <w:tcPr>
            <w:tcW w:w="1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242,912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6"/>
        </w:trPr>
        <w:tc>
          <w:tcPr>
            <w:tcW w:w="48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3120" w:type="dxa"/>
            <w:vAlign w:val="bottom"/>
            <w:tcBorders>
              <w:top w:val="single" w:sz="8" w:color="CCEEFF"/>
              <w:bottom w:val="single" w:sz="8" w:color="9A9A9A"/>
            </w:tcBorders>
          </w:tcPr>
          <w:p>
            <w:pPr>
              <w:spacing w:after="0"/>
              <w:rPr>
                <w:sz w:val="24"/>
                <w:szCs w:val="24"/>
                <w:color w:val="auto"/>
              </w:rPr>
            </w:pPr>
          </w:p>
        </w:tc>
        <w:tc>
          <w:tcPr>
            <w:tcW w:w="196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13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auto"/>
              <w:bottom w:val="single" w:sz="8" w:color="9A9A9A"/>
            </w:tcBorders>
          </w:tcPr>
          <w:p>
            <w:pPr>
              <w:spacing w:after="0"/>
              <w:rPr>
                <w:sz w:val="24"/>
                <w:szCs w:val="24"/>
                <w:color w:val="auto"/>
              </w:rPr>
            </w:pPr>
          </w:p>
        </w:tc>
        <w:tc>
          <w:tcPr>
            <w:tcW w:w="134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-4619625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-4602480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-2794000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-1824990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-1533525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-1516380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FRANKLIN COVEY CO.</w:t>
      </w:r>
    </w:p>
    <w:p>
      <w:pPr>
        <w:spacing w:after="0" w:line="3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Free Cash Flow</w:t>
      </w:r>
    </w:p>
    <w:p>
      <w:pPr>
        <w:spacing w:after="0" w:line="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 thousands and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Two Quarters Ended</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2"/>
          </w:tcPr>
          <w:p>
            <w:pPr>
              <w:jc w:val="right"/>
              <w:ind w:right="910"/>
              <w:spacing w:after="0" w:line="191" w:lineRule="exact"/>
              <w:rPr>
                <w:sz w:val="20"/>
                <w:szCs w:val="20"/>
                <w:color w:val="auto"/>
              </w:rPr>
            </w:pPr>
            <w:r>
              <w:rPr>
                <w:rFonts w:ascii="Times New Roman" w:cs="Times New Roman" w:eastAsia="Times New Roman" w:hAnsi="Times New Roman"/>
                <w:sz w:val="18"/>
                <w:szCs w:val="18"/>
                <w:color w:val="auto"/>
              </w:rPr>
              <w:t>February 28,</w:t>
            </w:r>
          </w:p>
        </w:tc>
        <w:tc>
          <w:tcPr>
            <w:tcW w:w="400" w:type="dxa"/>
            <w:vAlign w:val="bottom"/>
          </w:tcPr>
          <w:p>
            <w:pPr>
              <w:spacing w:after="0"/>
              <w:rPr>
                <w:sz w:val="16"/>
                <w:szCs w:val="16"/>
                <w:color w:val="auto"/>
              </w:rPr>
            </w:pPr>
          </w:p>
        </w:tc>
        <w:tc>
          <w:tcPr>
            <w:tcW w:w="122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99"/>
              </w:rPr>
              <w:t>February 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4"/>
              </w:rPr>
              <w:t>(unaudited)</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(5,271)</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14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(loss) to net cash</w:t>
            </w: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capitalized curriculum costs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of right-of-use operating lease assets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license obligation restructuring</w:t>
            </w:r>
          </w:p>
        </w:tc>
        <w:tc>
          <w:tcPr>
            <w:tcW w:w="320" w:type="dxa"/>
            <w:vAlign w:val="bottom"/>
          </w:tcPr>
          <w:p>
            <w:pPr>
              <w:spacing w:after="0"/>
              <w:rPr>
                <w:sz w:val="18"/>
                <w:szCs w:val="18"/>
                <w:color w:val="auto"/>
              </w:rPr>
            </w:pPr>
          </w:p>
        </w:tc>
        <w:tc>
          <w:tcPr>
            <w:tcW w:w="20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(338)</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10,796</w:t>
            </w:r>
          </w:p>
        </w:tc>
        <w:tc>
          <w:tcPr>
            <w:tcW w:w="7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16,351</w:t>
            </w:r>
          </w:p>
        </w:tc>
        <w:tc>
          <w:tcPr>
            <w:tcW w:w="7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(2,763)</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16"/>
        </w:trPr>
        <w:tc>
          <w:tcPr>
            <w:tcW w:w="7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Curriculum development costs</w:t>
            </w:r>
          </w:p>
        </w:tc>
        <w:tc>
          <w:tcPr>
            <w:tcW w:w="320" w:type="dxa"/>
            <w:vAlign w:val="bottom"/>
          </w:tcPr>
          <w:p>
            <w:pPr>
              <w:spacing w:after="0"/>
              <w:rPr>
                <w:sz w:val="18"/>
                <w:szCs w:val="18"/>
                <w:color w:val="auto"/>
              </w:rPr>
            </w:pPr>
          </w:p>
        </w:tc>
        <w:tc>
          <w:tcPr>
            <w:tcW w:w="20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(4,085)</w:t>
            </w:r>
          </w:p>
        </w:tc>
        <w:tc>
          <w:tcPr>
            <w:tcW w:w="4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Reacquisition of license rights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
        </w:trPr>
        <w:tc>
          <w:tcPr>
            <w:tcW w:w="7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20" w:type="dxa"/>
            <w:vAlign w:val="bottom"/>
          </w:tcPr>
          <w:p>
            <w:pPr>
              <w:spacing w:after="0"/>
              <w:rPr>
                <w:sz w:val="18"/>
                <w:szCs w:val="18"/>
                <w:color w:val="auto"/>
              </w:rPr>
            </w:pPr>
          </w:p>
        </w:tc>
        <w:tc>
          <w:tcPr>
            <w:tcW w:w="20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(6,848)</w:t>
            </w:r>
          </w:p>
        </w:tc>
        <w:tc>
          <w:tcPr>
            <w:tcW w:w="40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09"/>
        </w:trPr>
        <w:tc>
          <w:tcPr>
            <w:tcW w:w="7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9,503</w:t>
            </w:r>
          </w:p>
        </w:tc>
        <w:tc>
          <w:tcPr>
            <w:tcW w:w="720" w:type="dxa"/>
            <w:vAlign w:val="bottom"/>
          </w:tcPr>
          <w:p>
            <w:pPr>
              <w:spacing w:after="0"/>
              <w:rPr>
                <w:sz w:val="18"/>
                <w:szCs w:val="18"/>
                <w:color w:val="auto"/>
              </w:rPr>
            </w:pP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6"/>
        </w:trPr>
        <w:tc>
          <w:tcPr>
            <w:tcW w:w="7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-2116455</wp:posOffset>
            </wp:positionV>
            <wp:extent cx="77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-1276985</wp:posOffset>
            </wp:positionV>
            <wp:extent cx="774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-1276985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o"/>
      <w:numFmt w:val="bullet"/>
      <w:start w:val="1"/>
    </w:lvl>
    <w:lvl w:ilvl="1">
      <w:lvlJc w:val="left"/>
      <w:lvlText w:val="▪"/>
      <w:numFmt w:val="bullet"/>
      <w:start w:val="1"/>
    </w:lvl>
  </w:abstractNum>
  <w:abstractNum w:abstractNumId="2">
    <w:nsid w:val="625558EC"/>
    <w:multiLevelType w:val="hybridMultilevel"/>
    <w:lvl w:ilvl="0">
      <w:lvlJc w:val="left"/>
      <w:lvlText w:val="o"/>
      <w:numFmt w:val="bullet"/>
      <w:start w:val="1"/>
    </w:lvl>
    <w:lvl w:ilvl="1">
      <w:lvlJc w:val="left"/>
      <w:lvlText w:val="▪"/>
      <w:numFmt w:val="bullet"/>
      <w:start w:val="1"/>
    </w:lvl>
  </w:abstractNum>
  <w:abstractNum w:abstractNumId="3">
    <w:nsid w:val="238E1F29"/>
    <w:multiLevelType w:val="hybridMultilevel"/>
    <w:lvl w:ilvl="0">
      <w:lvlJc w:val="left"/>
      <w:lvlText w:val="o"/>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2026-04-01T15:29:21Z</dcterms:created>
  <dcterms:modified xsi:type="dcterms:W3CDTF">2026-04-01T15:29:21Z</dcterms:modified>
</cp:coreProperties>
</file>