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c-20260701.htm"/>
      <w:bookmarkStart w:id="1" w:name="ksfc2026070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Date of Report (Date of earliest event reported): July 01, 2026</w:t>
            </w:r>
          </w:p>
          <w:p>
            <w:pPr>
              <w:pStyle w:val="TableContents"/>
              <w:bidi w:val="0"/>
              <w:jc w:val="center"/>
              <w:rPr/>
            </w:pPr>
            <w:r>
              <w:rPr/>
              <w:t> </w:t>
            </w:r>
          </w:p>
          <w:p>
            <w:pPr>
              <w:pStyle w:val="TableContents"/>
              <w:bidi w:val="0"/>
              <w:spacing w:before="0" w:after="283"/>
              <w:jc w:val="center"/>
              <w:rPr/>
            </w:pPr>
            <w:r>
              <w:rPr/>
              <w:drawing>
                <wp:inline distT="0" distB="0" distL="0" distR="0">
                  <wp:extent cx="280035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495300"/>
                          </a:xfrm>
                          <a:prstGeom prst="rect">
                            <a:avLst/>
                          </a:prstGeom>
                        </pic:spPr>
                      </pic:pic>
                    </a:graphicData>
                  </a:graphic>
                </wp:inline>
              </w:drawing>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Franklin Covey Co.</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557" w:type="dxa"/>
        <w:jc w:val="left"/>
        <w:tblInd w:w="0" w:type="dxa"/>
        <w:tblLayout w:type="fixed"/>
        <w:tblCellMar>
          <w:top w:w="28" w:type="dxa"/>
          <w:left w:w="28" w:type="dxa"/>
          <w:bottom w:w="28" w:type="dxa"/>
          <w:right w:w="28" w:type="dxa"/>
        </w:tblCellMar>
      </w:tblPr>
      <w:tblGrid>
        <w:gridCol w:w="1193"/>
        <w:gridCol w:w="1085"/>
        <w:gridCol w:w="1097"/>
        <w:gridCol w:w="1846"/>
        <w:gridCol w:w="1336"/>
      </w:tblGrid>
      <w:tr>
        <w:trPr/>
        <w:tc>
          <w:tcPr>
            <w:tcW w:w="119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Utah</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001-11107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87-0401551</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13907 South Minuteman Dr., 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Draper, Utah</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84020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801</w:t>
            </w:r>
            <w:r>
              <w:rPr>
                <w:rFonts w:ascii="Times New Roman" w:hAnsi="Times New Roman"/>
                <w:color w:val="000000"/>
                <w:sz w:val="20"/>
              </w:rPr>
              <w:t xml:space="preserve"> </w:t>
            </w:r>
            <w:r>
              <w:rPr>
                <w:rFonts w:ascii="Times New Roman" w:hAnsi="Times New Roman"/>
                <w:b/>
                <w:color w:val="000000"/>
                <w:sz w:val="20"/>
              </w:rPr>
              <w:t>817-1776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825" w:type="dxa"/>
        <w:jc w:val="left"/>
        <w:tblInd w:w="0" w:type="dxa"/>
        <w:tblLayout w:type="fixed"/>
        <w:tblCellMar>
          <w:top w:w="28" w:type="dxa"/>
          <w:left w:w="28" w:type="dxa"/>
          <w:bottom w:w="28" w:type="dxa"/>
          <w:right w:w="28" w:type="dxa"/>
        </w:tblCellMar>
      </w:tblPr>
      <w:tblGrid>
        <w:gridCol w:w="2761"/>
        <w:gridCol w:w="146"/>
        <w:gridCol w:w="946"/>
        <w:gridCol w:w="146"/>
        <w:gridCol w:w="3826"/>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6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$0.05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July 1, 2026, Franklin Covey Co. (the Company) announced its financial results for the third quarter of fiscal 2026, which ended on May 31, 2026. A copy of the earnings release is being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Certain information in this Report (including the exhibit) is furnished pursuant to Item 2.02 and shall not be deemed to be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expressly set forth by specific reference in such a filing.</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June 17, 2026, the Company announced that it would host a discussion for shareholders and the financial community to review its financial results for the third quarter of fiscal 2026. The discussion is scheduled to be held on Wednesday, July 1, 2026, at 5:00 p.m. Eastern Time (3:00 p.m. Mountain Time).</w:t>
      </w:r>
    </w:p>
    <w:p>
      <w:pPr>
        <w:pStyle w:val="TextBody"/>
        <w:bidi w:val="0"/>
        <w:jc w:val="left"/>
        <w:rPr>
          <w:rFonts w:ascii="Times New Roman" w:hAnsi="Times New Roman"/>
          <w:sz w:val="20"/>
        </w:rPr>
      </w:pPr>
      <w:r>
        <w:rPr>
          <w:rFonts w:ascii="Times New Roman" w:hAnsi="Times New Roman"/>
          <w:color w:val="000000"/>
          <w:sz w:val="20"/>
        </w:rPr>
        <w:t xml:space="preserve">Interested persons may access a live webcast </w:t>
      </w:r>
      <w:r>
        <w:rPr>
          <w:rFonts w:ascii="Times New Roman" w:hAnsi="Times New Roman"/>
          <w:sz w:val="20"/>
        </w:rPr>
        <w:t>https://edge.media-server.com/mmc/p/8yjq5b3i</w:t>
      </w:r>
      <w:r>
        <w:rPr>
          <w:rFonts w:ascii="Times New Roman" w:hAnsi="Times New Roman"/>
          <w:color w:val="000000"/>
          <w:sz w:val="20"/>
          <w:u w:val="single"/>
        </w:rPr>
        <w:t xml:space="preserve"> </w:t>
      </w:r>
      <w:r>
        <w:rPr>
          <w:rFonts w:ascii="Times New Roman" w:hAnsi="Times New Roman"/>
          <w:color w:val="000000"/>
          <w:sz w:val="20"/>
        </w:rPr>
        <w:t xml:space="preserve">or may participate via telephone by registering at </w:t>
      </w:r>
      <w:r>
        <w:rPr>
          <w:rFonts w:ascii="Times New Roman" w:hAnsi="Times New Roman"/>
          <w:sz w:val="20"/>
        </w:rPr>
        <w:t>https://register-conf.media-server.com/register/BI57ddeb8339fa49c0a62b3ff26faa5415</w:t>
      </w:r>
      <w:r>
        <w:rPr>
          <w:rFonts w:ascii="Times New Roman" w:hAnsi="Times New Roman"/>
          <w:color w:val="000000"/>
          <w:sz w:val="20"/>
        </w:rPr>
        <w:t>. Once registered, participants will have the option of 1) dialing into the call from their phone (via a personalized PIN); or 2) clicking the “Call Me” option to receive an automated call directly to their phone. For either option, registration will be required to access the call. A replay of the conference call webcast will be archived on the Company’s website for at least 30 days.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Heading2"/>
        <w:bidi w:val="0"/>
        <w:jc w:val="left"/>
        <w:rPr>
          <w:rFonts w:ascii="Times New Roman" w:hAnsi="Times New Roman"/>
          <w:sz w:val="20"/>
        </w:rPr>
      </w:pPr>
      <w:r>
        <w:rPr>
          <w:rFonts w:ascii="Times New Roman" w:hAnsi="Times New Roman"/>
          <w:b w:val="false"/>
          <w:color w:val="000000"/>
          <w:sz w:val="20"/>
        </w:rPr>
        <w:t>(d) Exhibits</w:t>
      </w:r>
      <w:r>
        <w:rPr>
          <w:rFonts w:ascii="Times New Roman" w:hAnsi="Times New Roman"/>
          <w:color w:val="000000"/>
          <w:sz w:val="20"/>
        </w:rPr>
        <w:t xml:space="preserve"> </w:t>
      </w:r>
    </w:p>
    <w:p>
      <w:pPr>
        <w:pStyle w:val="Heading2"/>
        <w:bidi w:val="0"/>
        <w:jc w:val="left"/>
        <w:rPr/>
      </w:pPr>
      <w:r>
        <w:rPr/>
        <w:t> </w:t>
      </w:r>
    </w:p>
    <w:p>
      <w:pPr>
        <w:pStyle w:val="Heading2"/>
        <w:bidi w:val="0"/>
        <w:jc w:val="left"/>
        <w:rPr/>
      </w:pPr>
      <w:r>
        <w:rPr>
          <w:rFonts w:ascii="Times New Roman" w:hAnsi="Times New Roman"/>
          <w:b w:val="false"/>
          <w:color w:val="000000"/>
          <w:sz w:val="20"/>
        </w:rPr>
        <w:t xml:space="preserve">99.1 </w:t>
      </w:r>
      <w:hyperlink w:anchor="fc-ex99_1.htm">
        <w:r>
          <w:rPr>
            <w:rStyle w:val="InternetLink"/>
            <w:rFonts w:ascii="Times New Roman" w:hAnsi="Times New Roman"/>
            <w:color w:val="0000FF"/>
            <w:sz w:val="20"/>
            <w:u w:val="single"/>
          </w:rPr>
          <w:t>Earnings release dated July 1, 2026</w:t>
        </w:r>
      </w:hyperlink>
      <w:r>
        <w:rPr>
          <w:rFonts w:ascii="Times New Roman" w:hAnsi="Times New Roman"/>
          <w:b w:val="false"/>
          <w:color w:val="000000"/>
          <w:sz w:val="20"/>
        </w:rPr>
        <w:t>.</w:t>
      </w:r>
    </w:p>
    <w:p>
      <w:pPr>
        <w:pStyle w:val="Heading2"/>
        <w:bidi w:val="0"/>
        <w:spacing w:before="0" w:after="120"/>
        <w:jc w:val="left"/>
        <w:rPr>
          <w:rFonts w:ascii="Times New Roman" w:hAnsi="Times New Roman"/>
          <w:sz w:val="20"/>
        </w:rPr>
      </w:pPr>
      <w:r>
        <w:rPr>
          <w:rFonts w:ascii="Times New Roman" w:hAnsi="Times New Roman"/>
          <w:b w:val="false"/>
          <w:color w:val="000000"/>
          <w:sz w:val="20"/>
        </w:rPr>
        <w:t>104 Cover Page Interactive Data File – the cover page XBRL tags are embedded within the inline XBRL document.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94" w:type="dxa"/>
        <w:jc w:val="left"/>
        <w:tblInd w:w="0" w:type="dxa"/>
        <w:tblLayout w:type="fixed"/>
        <w:tblCellMar>
          <w:top w:w="28" w:type="dxa"/>
          <w:left w:w="28" w:type="dxa"/>
          <w:bottom w:w="28" w:type="dxa"/>
          <w:right w:w="28" w:type="dxa"/>
        </w:tblCellMar>
      </w:tblPr>
      <w:tblGrid>
        <w:gridCol w:w="556"/>
        <w:gridCol w:w="1111"/>
        <w:gridCol w:w="451"/>
        <w:gridCol w:w="2176"/>
      </w:tblGrid>
      <w:tr>
        <w:trPr/>
        <w:tc>
          <w:tcPr>
            <w:tcW w:w="55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FRANKLIN COVEY CO.</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1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17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Jessica G. Betjemann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Jessica G. Betjemann</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fc-ex99_1.htm"/>
      <w:bookmarkStart w:id="3" w:name="ksfcex99_1"/>
      <w:bookmarkEnd w:id="2"/>
      <w:bookmarkEnd w:id="3"/>
      <w:r>
        <w:rPr/>
        <w:t> </w:t>
      </w:r>
      <w:r>
        <w:br w:type="page"/>
      </w:r>
    </w:p>
    <w:tbl>
      <w:tblPr>
        <w:tblW w:w="6053" w:type="dxa"/>
        <w:jc w:val="left"/>
        <w:tblInd w:w="0" w:type="dxa"/>
        <w:tblLayout w:type="fixed"/>
        <w:tblCellMar>
          <w:top w:w="28" w:type="dxa"/>
          <w:left w:w="28" w:type="dxa"/>
          <w:bottom w:w="28" w:type="dxa"/>
          <w:right w:w="28" w:type="dxa"/>
        </w:tblCellMar>
      </w:tblPr>
      <w:tblGrid>
        <w:gridCol w:w="3386"/>
        <w:gridCol w:w="146"/>
        <w:gridCol w:w="2521"/>
      </w:tblGrid>
      <w:tr>
        <w:trPr/>
        <w:tc>
          <w:tcPr>
            <w:tcW w:w="3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0"/>
              </w:rPr>
            </w:pPr>
            <w:r>
              <w:rPr>
                <w:rFonts w:ascii="Times New Roman" w:hAnsi="Times New Roman"/>
                <w:color w:val="000000"/>
                <w:sz w:val="20"/>
              </w:rPr>
              <w:t>Exhibit 99.1</w:t>
            </w:r>
          </w:p>
          <w:p>
            <w:pPr>
              <w:pStyle w:val="TableContents"/>
              <w:bidi w:val="0"/>
              <w:spacing w:before="0" w:after="283"/>
              <w:jc w:val="right"/>
              <w:rPr/>
            </w:pPr>
            <w:r>
              <w:rPr/>
              <w:t> </w:t>
            </w:r>
          </w:p>
        </w:tc>
      </w:tr>
      <w:tr>
        <w:trPr/>
        <w:tc>
          <w:tcPr>
            <w:tcW w:w="3386"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0859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85975" cy="371475"/>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44"/>
              </w:rPr>
            </w:pPr>
            <w:r>
              <w:rPr>
                <w:rFonts w:ascii="Times New Roman" w:hAnsi="Times New Roman"/>
                <w:color w:val="000000"/>
                <w:sz w:val="44"/>
              </w:rPr>
              <w:t>Press Release</w:t>
            </w:r>
          </w:p>
        </w:tc>
      </w:tr>
      <w:tr>
        <w:trPr/>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13907 S. Minuteman Drive, Suite 500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Draper, UT 84020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8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www.franklincovey.com</w:t>
            </w:r>
          </w:p>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FRANKLIN COVEY REPORTS THIRD QUARTER FISCAL 2026</w:t>
      </w:r>
    </w:p>
    <w:p>
      <w:pPr>
        <w:pStyle w:val="TextBody"/>
        <w:bidi w:val="0"/>
        <w:jc w:val="center"/>
        <w:rPr>
          <w:rFonts w:ascii="Times New Roman" w:hAnsi="Times New Roman"/>
          <w:b/>
          <w:color w:val="000000"/>
          <w:sz w:val="22"/>
        </w:rPr>
      </w:pPr>
      <w:r>
        <w:rPr>
          <w:rFonts w:ascii="Times New Roman" w:hAnsi="Times New Roman"/>
          <w:b/>
          <w:color w:val="000000"/>
          <w:sz w:val="22"/>
        </w:rPr>
        <w:t>FINANCIAL RESULTS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Consolidated Third Quarter Revenue Increases 1% to $67.8 Million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Invoiced Amounts in Enterprise North America Increase 4% to $36.7 Million</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Deferred Revenue Increases 7% to $96.0 Million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Net Income for the Third Quarter Increases to $3.1 Million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Adjusted EBITDA Increases 14% to $8.3 Million</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Liquidity Remains Strong at Over $74 Million, with $12.0 Million of Cash</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and the Company’s $62.5 Million Credit Facility Fully Available</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Company Updates Guidance for Fiscal 2026</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2"/>
        </w:rPr>
        <w:t xml:space="preserve">Salt Lake City, Utah </w:t>
      </w:r>
      <w:r>
        <w:rPr>
          <w:rFonts w:ascii="Times New Roman" w:hAnsi="Times New Roman"/>
          <w:color w:val="000000"/>
          <w:sz w:val="20"/>
        </w:rPr>
        <w:t xml:space="preserve">– </w:t>
      </w:r>
      <w:r>
        <w:rPr>
          <w:rFonts w:ascii="Times New Roman" w:hAnsi="Times New Roman"/>
          <w:color w:val="000000"/>
          <w:sz w:val="22"/>
        </w:rPr>
        <w:t>Franklin Covey Co. (NYSE: FC), a global leadership and organizational performance partner that gives strategy the human edge, announced today its financial results for the third quarter of fiscal 2026, which ended on May 31, 2026.</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Third Quarter Fiscal 2026 Financial Overview</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Company’s consolidated revenue for Q3 FY2026 increased to $67.8 million compared with $67.1 million in Q3 FY2025. The Company’s financial results for Q3 FY2026 include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Enterprise Division revenue for Q3 FY2026 increased to $48.1 million compared with $47.3 million in the prior year.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Enterprise Division revenue reflected a $1.0 million increase in North America segment revenue partially offset by a $0.2 million decrease in International segment revenue. The North America segment was favorably affected by higher service revenue, partially offset by lower recognized subscription revenue.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Enterprise North America invoiced amounts grew 4%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Deferred revenue for the Enterprise Division increased 15% year-over-year.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Education Division revenue in Q3 FY2026 increased to $19.0 million compared with $18.6 million in the prior year.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increase was driven by higher subscription revenue, primarily due to the delivery of more training and coaching days, partially offset by decreased materials revenue during the quarter.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Consolidated subscription and subscription services revenue for Q3 FY2026 was $57.5 million compared with $57.7 million in Q3 FY2025. Subscription and contractually committed services invoiced for Q3 FY2026 totaled $37.0 million, growth of 17%, compared with $31.7 million in Q3 FY2025.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The Company recognized net income for Q3 FY2026 of $3.1 million, or $0.27 per diluted share, compared with a net loss of $(1.4) million, or $(0.11) per share, in Q3 FY2025.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Adjusted EBITDA for Q3 FY2026 increased 14% to $8.3 million compared with $7.3 million in the prior year.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Consolidated deferred revenue at May 31, 2026 increased 7% to $96.0 million compared with $89.3 million at May 31, 2025.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At May 31, 2026, 59% of the Company’s AAP contracts in North America were for at least two years, compared with 58% at May 31, 2025, and the percentage of contracted amounts represented by multi-year contracts was 60% compared with 62% on May 31, 2025.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Unbilled deferred revenue totaled $61.1 million at May 31, 2026, compared with $62.0 million at May 31, 2025.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Cash provided by operating activities for Q3 FY2026 was $1.1 million compared with $6.3 million in the prior year.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Free cash flow for Q3 FY2026 was $(1.0) million compared with $2.8 million in Q3 FY2025.</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Cash and cash equivalents totaled $12.0 million compared with $33.7 million as of May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Paul Walker, President and Chief Executive Officer commented, “We are pleased with the continued strong momentum particularly in Enterprise North America, which achieved 4% growth in invoiced amounts in the third quarter, or 6% year-to-date, and where we achieved 18% growth in our deferred revenue balance year-over-year, and over 25% growth in our year-to-date services booking pace – all of which position us well for meaningful growth in fiscal 2027. This marks our third consecutive quarter of invoiced growth in Enterprise North America, reflecting both the increasing strategic importance of what we do for our clients and the traction from the go-to-market transformation we implemented last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While we experienced an unexpected headwind in our Education business due to a last-minute state budget reduction that removed funding for a large state contract, the underlying strength of our business across both Enterprise North America and Education remains solid and we remain confident in our trajectory for meaningful growth in fiscal 2027 and beyond.”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Jessi Betjemann, Chief Financial Officer said, “In the third quarter, we demonstrated strong operational discipline, with Adjusted EBITDA growing 14% to $8.3 million. We are pleased that our consolidated deferred revenue balance increased 7% year-over-year to $96.0 million and that our balance sheet remains strong with over $74 million in total liquidity. We are revising our fiscal 2026 revenue guidance to a range of $260 million to $267 million while maintaining our expectation to achieve Adjusted EBITDA guidance within a narrower range through continued cost discipline.”</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Fiscal 2026 Guidance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has revised its revenue guidance to allow for a timing shift in previously invoiced services delivery from this year to next for a large contract in Enterprise North America, a large new school contract with an existing state-wide Education client that experienced gubernatorial budget reductions which we expect to return next year, and the impact of the challenging international environment due to ongoing geo-political tensions. These factors, combined with a disciplined view of the variability risk that could occur as we close the year, have led the Company to revise its revenue guidance.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updates its fiscal 2026 guidance to the following, in constant currency: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Total revenue in the range of $260 million to $267 million, versus prior guidance of $265 million to $275 million.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Adjusted EBITDA in the range of $28 million to $31 million, within prior guidance of $28 million to $33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Despite the revision of the revenue guidance range, the Company has maintained its prior Adjusted EBITDA guidance within a narrower range, reflecting the effectiveness of cost reduction measures implemented throughout the year. The Company believes it is well-positioned to deliver net revenue, Adjusted EBITDA, and Free Cash Flow growth in fiscal 2027 and beyond.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Earnings Conference Call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On Wednesday, July 1, 2026, at 5:00 p.m. Eastern (3:00 p.m. Mountain Time) Franklin Covey will host a conference call to review its third quarter fiscal 2026 financial results. Interested persons may access a live audio webcast at </w:t>
      </w:r>
      <w:r>
        <w:rPr>
          <w:rFonts w:ascii="Times New Roman" w:hAnsi="Times New Roman"/>
          <w:sz w:val="22"/>
        </w:rPr>
        <w:t>https://edge.media-server.com/mmc/p/8yjq5b3i</w:t>
      </w:r>
      <w:r>
        <w:rPr>
          <w:rFonts w:ascii="Times New Roman" w:hAnsi="Times New Roman"/>
          <w:color w:val="000000"/>
          <w:sz w:val="20"/>
        </w:rPr>
        <w:t xml:space="preserve"> </w:t>
      </w:r>
      <w:r>
        <w:rPr>
          <w:rFonts w:ascii="Times New Roman" w:hAnsi="Times New Roman"/>
          <w:color w:val="000000"/>
          <w:sz w:val="22"/>
        </w:rPr>
        <w:t xml:space="preserve">or may participate via telephone by registering at </w:t>
      </w:r>
      <w:r>
        <w:rPr>
          <w:rFonts w:ascii="Times New Roman" w:hAnsi="Times New Roman"/>
          <w:sz w:val="22"/>
        </w:rPr>
        <w:t>https://register-conf.media-server.com/register/BI57ddeb8339fa49c0a62b3ff26faa5415</w:t>
      </w:r>
      <w:r>
        <w:rPr>
          <w:rFonts w:ascii="Times New Roman" w:hAnsi="Times New Roman"/>
          <w:color w:val="000000"/>
          <w:sz w:val="22"/>
        </w:rPr>
        <w:t>. Once registered, participants will have the option of 1) dialing into the call from their phone (via a personalized PIN); or 2) clicking the “Call Me” option to receive an automated call directly to their phone. For either option, registration will be required to access the call. A replay of the conference call webcast will be archived on the Company’s website for at least 30 days.</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Forward-Looking Statements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press release contains forward-looking statements within the meaning of the Private Securities Litigation Reform Act of 1995 including those statements related to the Company’s future results and profitability and other goals relating to the growth and operations of the Company. Forward-looking statements are based upon management’s current expectations and are subject to various risks and uncertainties including, but not limited to: general macroeconomic conditions; renewals of subscription contracts; the impact of strategic projects and initiatives on future financial results; growth in and client demand for add-on services; market acceptance of new products or services, including new AAP portal upgrades and content launches; impacts from geopolitical trade tensions and the general business environment; and other factors identified and discussed in the Company’s most recent Annual Report on Form 10-K and other periodic reports filed with the Securities and Exchange Commission. Many of these conditions are beyond the Company’s control or influence, any one of which may cause future results to differ materially from the Company’s current expectations, and there can be no assurance that the Company’s actual future performance will meet management’s expectations. These forward-looking statements are based on management’s current expectations, and the Company undertakes no obligation to update or revise these forward-looking statements to reflect events or circumstances subsequent to this press release.</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Non-GAAP Financial Information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earnings release includes the concepts of Adjusted EBITDA and Free Cash Flow which are non-GAAP measures. The Company defines Adjusted EBITDA as net income or loss excluding the impact of interest, income taxes, intangible asset amortization, depreciation, stock-based compensation expense, and certain other infrequently occurring items such as restructuring and building exit costs. Free Cash Flow is defined as GAAP calculated cash flows from operating activities less capitalized expenditures for purchases of property and equipment, curriculum development, and content or license rights. The Company references these non-GAAP financial measures in its decision-making because they provide supplemental information that facilitates consistent internal comparisons to the historical operating performance of prior periods, and the Company believes they provide investors with greater transparency to evaluate operational activities and financial results. Refer to the attached tables for the reconciliation of the non-GAAP financial measure, Adjusted EBITDA, to consolidated net income (loss), a related GAAP financial measure, and for the calculation of Free Cash Flow.</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is unable to provide a reconciliation of the above forward-looking estimate of non-GAAP Adjusted EBITDA to GAAP measures because certain information needed to make a reasonable forward-looking estimate is difficult to obtain and dependent on future events which may be uncertain, or out of the Company’s control, including the amount of AAP contracts invoiced, the number of AAP contracts that are renewed, necessary costs to deliver the Company’s offerings, such as unanticipated curriculum development costs, and other potential variables. Accordingly, a reconciliation is not available without unreasonable effort.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2"/>
          <w:u w:val="single"/>
        </w:rPr>
      </w:pPr>
      <w:r>
        <w:rPr>
          <w:rFonts w:ascii="Times New Roman" w:hAnsi="Times New Roman"/>
          <w:b/>
          <w:color w:val="000000"/>
          <w:sz w:val="22"/>
          <w:u w:val="single"/>
        </w:rPr>
        <w:t>About Franklin Covey Co.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Franklin Covey Co. (NYSE: FC) is a global leadership and organizational performance partner that gives strategy the human edge. It helps organizations achieve the breakthrough results that matter most. Using proven, principle-centered frameworks and practices, it builds high-trust leaders, teams and cultures and helps clients translate strategy into consistent execution. For more than 40 years, it has tested this approach with thousands of clients from Fortune 100 companies to educational and government institutions, providing professional services across 160 countries. Visit </w:t>
      </w:r>
      <w:r>
        <w:rPr>
          <w:rFonts w:ascii="Times New Roman" w:hAnsi="Times New Roman"/>
          <w:color w:val="0000FF"/>
          <w:sz w:val="22"/>
          <w:u w:val="single"/>
        </w:rPr>
        <w:t>www.franklincovey.com</w:t>
      </w:r>
      <w:r>
        <w:rPr>
          <w:rFonts w:ascii="Times New Roman" w:hAnsi="Times New Roman"/>
          <w:color w:val="000000"/>
          <w:sz w:val="20"/>
        </w:rPr>
        <w:t xml:space="preserve"> </w:t>
      </w:r>
      <w:r>
        <w:rPr>
          <w:rFonts w:ascii="Times New Roman" w:hAnsi="Times New Roman"/>
          <w:color w:val="000000"/>
          <w:sz w:val="22"/>
        </w:rPr>
        <w:t>and explore insights LinkedIn, Facebook, X, Instagram, and YouTube.</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6208" w:type="dxa"/>
        <w:jc w:val="left"/>
        <w:tblInd w:w="0" w:type="dxa"/>
        <w:tblLayout w:type="fixed"/>
        <w:tblCellMar>
          <w:top w:w="28" w:type="dxa"/>
          <w:left w:w="28" w:type="dxa"/>
          <w:bottom w:w="28" w:type="dxa"/>
          <w:right w:w="28" w:type="dxa"/>
        </w:tblCellMar>
      </w:tblPr>
      <w:tblGrid>
        <w:gridCol w:w="3241"/>
        <w:gridCol w:w="146"/>
        <w:gridCol w:w="282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Investor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 Contact:</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Covey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Franklin Covey</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Boyd Roberts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Debra Lund</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801-817-5127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801-817-6440</w:t>
            </w:r>
          </w:p>
        </w:tc>
      </w:tr>
      <w:tr>
        <w:trPr/>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investor.relations@franklincovey.com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Debra.Lund@franklincovey.com</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8041" w:type="dxa"/>
        <w:jc w:val="left"/>
        <w:tblInd w:w="0" w:type="dxa"/>
        <w:tblLayout w:type="fixed"/>
        <w:tblCellMar>
          <w:top w:w="28" w:type="dxa"/>
          <w:left w:w="28" w:type="dxa"/>
          <w:bottom w:w="28" w:type="dxa"/>
          <w:right w:w="28" w:type="dxa"/>
        </w:tblCellMar>
      </w:tblPr>
      <w:tblGrid>
        <w:gridCol w:w="3136"/>
        <w:gridCol w:w="211"/>
        <w:gridCol w:w="676"/>
        <w:gridCol w:w="166"/>
        <w:gridCol w:w="146"/>
        <w:gridCol w:w="211"/>
        <w:gridCol w:w="676"/>
        <w:gridCol w:w="166"/>
        <w:gridCol w:w="146"/>
        <w:gridCol w:w="211"/>
        <w:gridCol w:w="781"/>
        <w:gridCol w:w="166"/>
        <w:gridCol w:w="146"/>
        <w:gridCol w:w="211"/>
        <w:gridCol w:w="781"/>
        <w:gridCol w:w="211"/>
      </w:tblGrid>
      <w:tr>
        <w:trPr/>
        <w:tc>
          <w:tcPr>
            <w:tcW w:w="3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83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FRANKLIN COVEY CO.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3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Condensed Consolidated Statements of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30" w:type="dxa"/>
            <w:gridSpan w:val="1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per-share amounts, and 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Quarters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exit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Income (loss) from operations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Income (loss) before income taxes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(provision)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Net income (loss)</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3,085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(1,409</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(2,186</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(1,304</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common share: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data:</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CEE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Adjusted EBITDA</w:t>
            </w:r>
            <w:r>
              <w:rPr>
                <w:rFonts w:ascii="Times New Roman" w:hAnsi="Times New Roman"/>
                <w:color w:val="000000"/>
                <w:sz w:val="13"/>
              </w:rPr>
              <w:t>(1)</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17,041</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(1) Adjusted EBITDA (earnings before interest, income taxes, depreciation, amortization, stock-based compensation, and certain other items) is a non-GAAP financial measure that the Company believes is useful to investors in evaluating its results. For a reconciliation of this non-GAAP measure to a comparable GAAP measure, refer to the Reconciliation of Net Income (Loss) to Adjusted EBITDA as shown below.</w:t>
            </w:r>
          </w:p>
          <w:p>
            <w:pPr>
              <w:pStyle w:val="TableContents"/>
              <w:bidi w:val="0"/>
              <w:spacing w:before="0" w:after="283"/>
              <w:jc w:val="left"/>
              <w:rPr/>
            </w:pPr>
            <w:r>
              <w:rPr/>
              <w:t> </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9882" w:type="dxa"/>
        <w:jc w:val="left"/>
        <w:tblInd w:w="0" w:type="dxa"/>
        <w:tblLayout w:type="fixed"/>
        <w:tblCellMar>
          <w:top w:w="28" w:type="dxa"/>
          <w:left w:w="28" w:type="dxa"/>
          <w:bottom w:w="28" w:type="dxa"/>
          <w:right w:w="28" w:type="dxa"/>
        </w:tblCellMar>
      </w:tblPr>
      <w:tblGrid>
        <w:gridCol w:w="4771"/>
        <w:gridCol w:w="146"/>
        <w:gridCol w:w="211"/>
        <w:gridCol w:w="571"/>
        <w:gridCol w:w="271"/>
        <w:gridCol w:w="146"/>
        <w:gridCol w:w="211"/>
        <w:gridCol w:w="631"/>
        <w:gridCol w:w="271"/>
        <w:gridCol w:w="146"/>
        <w:gridCol w:w="211"/>
        <w:gridCol w:w="676"/>
        <w:gridCol w:w="271"/>
        <w:gridCol w:w="146"/>
        <w:gridCol w:w="211"/>
        <w:gridCol w:w="676"/>
        <w:gridCol w:w="316"/>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56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FRANKLIN COVEY CO.</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6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Reconciliation of Net Income (Loss) to Adjusted EBITDA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6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and unaudited)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Quarter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Quarters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net income (loss)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income (loss)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(income),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Stock-based compensation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Building exit costs</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7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27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1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on license liability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Adjusted EBITDA</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w:t>
            </w:r>
          </w:p>
        </w:tc>
        <w:tc>
          <w:tcPr>
            <w:tcW w:w="2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2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w:t>
            </w:r>
          </w:p>
        </w:tc>
        <w:tc>
          <w:tcPr>
            <w:tcW w:w="27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17,041</w:t>
            </w:r>
          </w:p>
        </w:tc>
        <w:tc>
          <w:tcPr>
            <w:tcW w:w="31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8547" w:type="dxa"/>
        <w:jc w:val="left"/>
        <w:tblInd w:w="0" w:type="dxa"/>
        <w:tblLayout w:type="fixed"/>
        <w:tblCellMar>
          <w:top w:w="28" w:type="dxa"/>
          <w:left w:w="28" w:type="dxa"/>
          <w:bottom w:w="28" w:type="dxa"/>
          <w:right w:w="28" w:type="dxa"/>
        </w:tblCellMar>
      </w:tblPr>
      <w:tblGrid>
        <w:gridCol w:w="3496"/>
        <w:gridCol w:w="146"/>
        <w:gridCol w:w="211"/>
        <w:gridCol w:w="676"/>
        <w:gridCol w:w="166"/>
        <w:gridCol w:w="146"/>
        <w:gridCol w:w="211"/>
        <w:gridCol w:w="676"/>
        <w:gridCol w:w="166"/>
        <w:gridCol w:w="146"/>
        <w:gridCol w:w="211"/>
        <w:gridCol w:w="781"/>
        <w:gridCol w:w="166"/>
        <w:gridCol w:w="146"/>
        <w:gridCol w:w="211"/>
        <w:gridCol w:w="78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33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FRANKLIN COVEY CO.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3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Additional Financial Information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33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and 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Quarter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Quarters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by Division/Segment: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Enterprise Division:</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International</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10,052</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30,410</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30,685</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Education Division</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18,998</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18,640</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52,590</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50,169</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Consolidated</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67,807</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67,121</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191,499</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195,819</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 by Division/Segment: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Enterprise Division:</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International</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23,362</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23,905</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Education Division</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11,936</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12,227</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32,620</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31,968</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Consolidated</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50,097</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51,322</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143,744</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149,779</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by Division/Segment: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Enterprise Division:</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International</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5,533</w:t>
            </w:r>
          </w:p>
        </w:tc>
        <w:tc>
          <w:tcPr>
            <w:tcW w:w="166"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w:t>
            </w:r>
          </w:p>
        </w:tc>
        <w:tc>
          <w:tcPr>
            <w:tcW w:w="211" w:type="dxa"/>
            <w:tcBorders>
              <w:bottom w:val="single" w:sz="4" w:space="0" w:color="000000"/>
            </w:tcBorders>
            <w:shd w:fill="CCEB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Education Division</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6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B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211"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CEB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Consolidated</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16,115</w:t>
            </w:r>
          </w:p>
        </w:tc>
        <w:tc>
          <w:tcPr>
            <w:tcW w:w="166"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B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17,041</w:t>
            </w:r>
          </w:p>
        </w:tc>
        <w:tc>
          <w:tcPr>
            <w:tcW w:w="211" w:type="dxa"/>
            <w:tcBorders>
              <w:bottom w:val="double" w:sz="6" w:space="0" w:color="000000"/>
            </w:tcBorders>
            <w:shd w:fill="CCEB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6963" w:type="dxa"/>
        <w:jc w:val="left"/>
        <w:tblInd w:w="0" w:type="dxa"/>
        <w:tblLayout w:type="fixed"/>
        <w:tblCellMar>
          <w:top w:w="28" w:type="dxa"/>
          <w:left w:w="28" w:type="dxa"/>
          <w:bottom w:w="28" w:type="dxa"/>
          <w:right w:w="28" w:type="dxa"/>
        </w:tblCellMar>
      </w:tblPr>
      <w:tblGrid>
        <w:gridCol w:w="4336"/>
        <w:gridCol w:w="211"/>
        <w:gridCol w:w="841"/>
        <w:gridCol w:w="166"/>
        <w:gridCol w:w="146"/>
        <w:gridCol w:w="211"/>
        <w:gridCol w:w="841"/>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5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FRANKLIN COVEY CO.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5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Condensed Consolidated Balance Sheets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52"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and 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Accounts receivable, less allowance for</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 losses of $2,091 and $2,929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Inventories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Prepaid expenses and 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129,477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242,912</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 and Shareholders' Equity</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Current portion of notes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Customer deposits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liabilities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157,292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liabilities</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155,074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176,001</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Common stock</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Additional paid-in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Retained earnings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Accumulated other comprehensive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Treasury stock at cost, 15,756 and 14,565 shares</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(310,593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(289,933</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shareholders'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198,010</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242,912</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7355" w:type="dxa"/>
        <w:jc w:val="left"/>
        <w:tblInd w:w="0" w:type="dxa"/>
        <w:tblLayout w:type="fixed"/>
        <w:tblCellMar>
          <w:top w:w="28" w:type="dxa"/>
          <w:left w:w="28" w:type="dxa"/>
          <w:bottom w:w="28" w:type="dxa"/>
          <w:right w:w="28" w:type="dxa"/>
        </w:tblCellMar>
      </w:tblPr>
      <w:tblGrid>
        <w:gridCol w:w="4486"/>
        <w:gridCol w:w="211"/>
        <w:gridCol w:w="146"/>
        <w:gridCol w:w="676"/>
        <w:gridCol w:w="166"/>
        <w:gridCol w:w="146"/>
        <w:gridCol w:w="211"/>
        <w:gridCol w:w="146"/>
        <w:gridCol w:w="676"/>
        <w:gridCol w:w="491"/>
      </w:tblGrid>
      <w:tr>
        <w:trPr/>
        <w:tc>
          <w:tcPr>
            <w:tcW w:w="4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86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FRANKLIN COVEY CO.</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Condensed Consolidated Free Cash Flow</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64"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and unaudited)</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 Quarters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7" w:type="dxa"/>
            <w:gridSpan w:val="7"/>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reconcile net loss to net cash</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6,273</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capitalized curriculum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right-of-use operating lease assets</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Gain on license obligation restructuring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Changes in working capital</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Curriculum development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Reacquisition of license rights</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for investing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10,570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3217</Words>
  <Characters>18030</Characters>
  <CharactersWithSpaces>22354</CharactersWithSpaces>
  <Paragraphs>2039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