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760" w:right="1600" w:hanging="752"/>
        <w:spacing w:after="0" w:line="303" w:lineRule="auto"/>
        <w:tabs>
          <w:tab w:leader="none" w:pos="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2026</w:t>
      </w:r>
    </w:p>
    <w:p>
      <w:pPr>
        <w:ind w:left="7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760" w:right="1600" w:hanging="752"/>
        <w:spacing w:after="0" w:line="344"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122555</wp:posOffset>
            </wp:positionV>
            <wp:extent cx="186880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575"/>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43"/>
                <w:szCs w:val="43"/>
                <w:b w:val="1"/>
                <w:bCs w:val="1"/>
                <w:color w:val="auto"/>
              </w:rPr>
              <w:t>FRANKLIN COVEY CO.</w:t>
            </w:r>
          </w:p>
        </w:tc>
      </w:tr>
      <w:tr>
        <w:trPr>
          <w:trHeight w:val="260"/>
        </w:trPr>
        <w:tc>
          <w:tcPr>
            <w:tcW w:w="7660" w:type="dxa"/>
            <w:vAlign w:val="bottom"/>
            <w:gridSpan w:val="8"/>
          </w:tcPr>
          <w:p>
            <w:pPr>
              <w:jc w:val="center"/>
              <w:ind w:left="350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580" w:type="dxa"/>
            <w:vAlign w:val="bottom"/>
          </w:tcPr>
          <w:p>
            <w:pPr>
              <w:spacing w:after="0"/>
              <w:rPr>
                <w:sz w:val="22"/>
                <w:szCs w:val="22"/>
                <w:color w:val="auto"/>
              </w:rPr>
            </w:pPr>
          </w:p>
        </w:tc>
      </w:tr>
      <w:tr>
        <w:trPr>
          <w:trHeight w:val="81"/>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580" w:type="dxa"/>
            <w:vAlign w:val="bottom"/>
          </w:tcPr>
          <w:p>
            <w:pPr>
              <w:spacing w:after="0"/>
              <w:rPr>
                <w:sz w:val="7"/>
                <w:szCs w:val="7"/>
                <w:color w:val="auto"/>
              </w:rPr>
            </w:pPr>
          </w:p>
        </w:tc>
      </w:tr>
      <w:tr>
        <w:trPr>
          <w:trHeight w:val="257"/>
        </w:trPr>
        <w:tc>
          <w:tcPr>
            <w:tcW w:w="488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1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580" w:type="dxa"/>
            <w:vAlign w:val="bottom"/>
          </w:tcPr>
          <w:p>
            <w:pPr>
              <w:jc w:val="right"/>
              <w:ind w:right="1685"/>
              <w:spacing w:after="0"/>
              <w:rPr>
                <w:sz w:val="20"/>
                <w:szCs w:val="20"/>
                <w:color w:val="auto"/>
              </w:rPr>
            </w:pPr>
            <w:r>
              <w:rPr>
                <w:rFonts w:ascii="Times New Roman" w:cs="Times New Roman" w:eastAsia="Times New Roman" w:hAnsi="Times New Roman"/>
                <w:sz w:val="18"/>
                <w:szCs w:val="18"/>
                <w:b w:val="1"/>
                <w:bCs w:val="1"/>
                <w:color w:val="auto"/>
              </w:rPr>
              <w:t>87-0401551</w:t>
            </w:r>
          </w:p>
        </w:tc>
      </w:tr>
      <w:tr>
        <w:trPr>
          <w:trHeight w:val="135"/>
        </w:trPr>
        <w:tc>
          <w:tcPr>
            <w:tcW w:w="4880" w:type="dxa"/>
            <w:vAlign w:val="bottom"/>
            <w:gridSpan w:val="4"/>
          </w:tcPr>
          <w:p>
            <w:pPr>
              <w:jc w:val="center"/>
              <w:ind w:right="5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80" w:type="dxa"/>
            <w:vAlign w:val="bottom"/>
          </w:tcPr>
          <w:p>
            <w:pPr>
              <w:jc w:val="center"/>
              <w:ind w:right="745"/>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880" w:type="dxa"/>
            <w:vAlign w:val="bottom"/>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jc w:val="center"/>
              <w:ind w:right="72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23"/>
        </w:trPr>
        <w:tc>
          <w:tcPr>
            <w:tcW w:w="48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13907 South Minuteman Dr., Suite 500</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18"/>
        </w:trPr>
        <w:tc>
          <w:tcPr>
            <w:tcW w:w="48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Draper, Utah</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Pr>
          <w:p>
            <w:pPr>
              <w:jc w:val="right"/>
              <w:ind w:right="1885"/>
              <w:spacing w:after="0"/>
              <w:rPr>
                <w:sz w:val="20"/>
                <w:szCs w:val="20"/>
                <w:color w:val="auto"/>
              </w:rPr>
            </w:pPr>
            <w:r>
              <w:rPr>
                <w:rFonts w:ascii="Times New Roman" w:cs="Times New Roman" w:eastAsia="Times New Roman" w:hAnsi="Times New Roman"/>
                <w:sz w:val="18"/>
                <w:szCs w:val="18"/>
                <w:b w:val="1"/>
                <w:bCs w:val="1"/>
                <w:color w:val="auto"/>
              </w:rPr>
              <w:t>84020</w:t>
            </w:r>
          </w:p>
        </w:tc>
      </w:tr>
      <w:tr>
        <w:trPr>
          <w:trHeight w:val="166"/>
        </w:trPr>
        <w:tc>
          <w:tcPr>
            <w:tcW w:w="4880" w:type="dxa"/>
            <w:vAlign w:val="bottom"/>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580" w:type="dxa"/>
            <w:vAlign w:val="bottom"/>
          </w:tcPr>
          <w:p>
            <w:pPr>
              <w:jc w:val="center"/>
              <w:ind w:right="725"/>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73"/>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817-1776</w:t>
            </w:r>
          </w:p>
        </w:tc>
      </w:tr>
      <w:tr>
        <w:trPr>
          <w:trHeight w:val="94"/>
        </w:trPr>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80" w:type="dxa"/>
            <w:vAlign w:val="bottom"/>
          </w:tcPr>
          <w:p>
            <w:pPr>
              <w:spacing w:after="0"/>
              <w:rPr>
                <w:sz w:val="8"/>
                <w:szCs w:val="8"/>
                <w:color w:val="auto"/>
              </w:rPr>
            </w:pPr>
          </w:p>
        </w:tc>
      </w:tr>
      <w:tr>
        <w:trPr>
          <w:trHeight w:val="532"/>
        </w:trPr>
        <w:tc>
          <w:tcPr>
            <w:tcW w:w="4880" w:type="dxa"/>
            <w:vAlign w:val="bottom"/>
            <w:gridSpan w:val="4"/>
          </w:tcPr>
          <w:p>
            <w:pPr>
              <w:ind w:left="7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8"/>
        </w:trPr>
        <w:tc>
          <w:tcPr>
            <w:tcW w:w="48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80" w:type="dxa"/>
            <w:vAlign w:val="bottom"/>
          </w:tcPr>
          <w:p>
            <w:pPr>
              <w:jc w:val="center"/>
              <w:ind w:right="70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$0.05 Par Value</w:t>
            </w:r>
          </w:p>
        </w:tc>
        <w:tc>
          <w:tcPr>
            <w:tcW w:w="120" w:type="dxa"/>
            <w:vAlign w:val="bottom"/>
            <w:gridSpan w:val="2"/>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FC</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725"/>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40" w:lineRule="exact"/>
        <w:rPr>
          <w:sz w:val="24"/>
          <w:szCs w:val="24"/>
          <w:color w:val="auto"/>
        </w:rPr>
      </w:pPr>
    </w:p>
    <w:p>
      <w:pPr>
        <w:jc w:val="both"/>
        <w:ind w:right="80" w:firstLine="74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80" w:firstLine="74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80" w:firstLine="74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2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54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2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12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2" w:lineRule="exact"/>
        <w:rPr>
          <w:sz w:val="24"/>
          <w:szCs w:val="24"/>
          <w:color w:val="auto"/>
        </w:rPr>
      </w:pPr>
    </w:p>
    <w:p>
      <w:pPr>
        <w:ind w:right="280" w:firstLine="74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3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61"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7"/>
          <w:szCs w:val="17"/>
          <w:color w:val="auto"/>
        </w:rPr>
        <w:t>11,272,444 shares of common stock, $0.05 par value per share, as of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0" w:type="dxa"/>
            <w:vAlign w:val="bottom"/>
            <w:gridSpan w:val="5"/>
          </w:tcPr>
          <w:p>
            <w:pPr>
              <w:ind w:left="2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364"/>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2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w:t>
            </w:r>
          </w:p>
        </w:tc>
        <w:tc>
          <w:tcPr>
            <w:tcW w:w="92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Changes In Shareholders’ Equity</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gridSpan w:val="3"/>
            <w:vMerge w:val="continue"/>
          </w:tcPr>
          <w:p>
            <w:pPr>
              <w:spacing w:after="0"/>
              <w:rPr>
                <w:sz w:val="24"/>
                <w:szCs w:val="24"/>
                <w:color w:val="auto"/>
              </w:rPr>
            </w:pPr>
          </w:p>
        </w:tc>
        <w:tc>
          <w:tcPr>
            <w:tcW w:w="92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Item 1.</w:t>
            </w:r>
          </w:p>
        </w:tc>
        <w:tc>
          <w:tcPr>
            <w:tcW w:w="92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10"/>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gridSpan w:val="10"/>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60" w:type="dxa"/>
            <w:vAlign w:val="bottom"/>
            <w:tcBorders>
              <w:left w:val="single" w:sz="8" w:color="0000FF"/>
            </w:tcBorders>
            <w:gridSpan w:val="10"/>
            <w:shd w:val="clear" w:color="auto" w:fill="0000FF"/>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220" w:type="dxa"/>
            <w:vAlign w:val="bottom"/>
            <w:gridSpan w:val="16"/>
          </w:tcPr>
          <w:p>
            <w:pPr>
              <w:spacing w:after="0" w:line="183" w:lineRule="exact"/>
              <w:rPr>
                <w:sz w:val="20"/>
                <w:szCs w:val="20"/>
                <w:color w:val="auto"/>
              </w:rPr>
            </w:pPr>
            <w:r>
              <w:rPr>
                <w:rFonts w:ascii="Times New Roman" w:cs="Times New Roman" w:eastAsia="Times New Roman" w:hAnsi="Times New Roman"/>
                <w:sz w:val="16"/>
                <w:szCs w:val="16"/>
                <w:color w:val="0000FF"/>
              </w:rPr>
              <w:t>Exhibits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83"/>
        </w:trPr>
        <w:tc>
          <w:tcPr>
            <w:tcW w:w="70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20" w:type="dxa"/>
            <w:vAlign w:val="bottom"/>
            <w:tcBorders>
              <w:bottom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 FINANCIAL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 FINANCIAL STATEMENTS</w:t>
      </w:r>
    </w:p>
    <w:p>
      <w:pPr>
        <w:spacing w:after="0" w:line="18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18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u w:val="single" w:color="auto"/>
          <w:color w:val="auto"/>
        </w:rPr>
        <w:t>CONDENSED CONSOLIDATED BALANCE SHEETS</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(in thousands, except per-share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February 28,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August 31,</w:t>
            </w:r>
          </w:p>
        </w:tc>
      </w:tr>
      <w:tr>
        <w:trPr>
          <w:trHeight w:val="213"/>
        </w:trPr>
        <w:tc>
          <w:tcPr>
            <w:tcW w:w="7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7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(unaudited)</w:t>
            </w:r>
          </w:p>
        </w:tc>
        <w:tc>
          <w:tcPr>
            <w:tcW w:w="1320" w:type="dxa"/>
            <w:vAlign w:val="bottom"/>
          </w:tcPr>
          <w:p>
            <w:pPr>
              <w:spacing w:after="0"/>
              <w:rPr>
                <w:sz w:val="17"/>
                <w:szCs w:val="17"/>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13,717</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31,698</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$2,721 and $2,929</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50,191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68,415</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5,336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5,165</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26,188</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24,199</w:t>
            </w:r>
          </w:p>
        </w:tc>
      </w:tr>
      <w:tr>
        <w:trPr>
          <w:trHeight w:val="196"/>
        </w:trPr>
        <w:tc>
          <w:tcPr>
            <w:tcW w:w="7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95,432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129,477</w:t>
            </w:r>
          </w:p>
        </w:tc>
      </w:tr>
      <w:tr>
        <w:trPr>
          <w:trHeight w:val="402"/>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24"/>
                <w:szCs w:val="24"/>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13,177</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14,324</w:t>
            </w:r>
          </w:p>
        </w:tc>
      </w:tr>
      <w:tr>
        <w:trPr>
          <w:trHeight w:val="205"/>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32,449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34,551</w:t>
            </w:r>
          </w:p>
        </w:tc>
      </w:tr>
      <w:tr>
        <w:trPr>
          <w:trHeight w:val="203"/>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31,220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31,220</w:t>
            </w:r>
          </w:p>
        </w:tc>
      </w:tr>
      <w:tr>
        <w:trPr>
          <w:trHeight w:val="203"/>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239</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r>
      <w:tr>
        <w:trPr>
          <w:trHeight w:val="203"/>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33,972</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33,109</w:t>
            </w:r>
          </w:p>
        </w:tc>
      </w:tr>
      <w:tr>
        <w:trPr>
          <w:trHeight w:val="236"/>
        </w:trPr>
        <w:tc>
          <w:tcPr>
            <w:tcW w:w="76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206,489</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242,912</w:t>
            </w:r>
          </w:p>
        </w:tc>
      </w:tr>
      <w:tr>
        <w:trPr>
          <w:trHeight w:val="183"/>
        </w:trPr>
        <w:tc>
          <w:tcPr>
            <w:tcW w:w="76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AND SHAREHOLDERS’ EQUITY</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notes payable</w:t>
            </w: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5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823</w:t>
            </w:r>
          </w:p>
        </w:tc>
      </w:tr>
      <w:tr>
        <w:trPr>
          <w:trHeight w:val="202"/>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6,611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8,780</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97,936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106,534</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deposits</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25,021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16,327</w:t>
            </w:r>
          </w:p>
        </w:tc>
      </w:tr>
      <w:tr>
        <w:trPr>
          <w:trHeight w:val="203"/>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21,840</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24,828</w:t>
            </w:r>
          </w:p>
        </w:tc>
      </w:tr>
      <w:tr>
        <w:trPr>
          <w:trHeight w:val="204"/>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152,243</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157,292</w:t>
            </w:r>
          </w:p>
        </w:tc>
      </w:tr>
      <w:tr>
        <w:trPr>
          <w:trHeight w:val="195"/>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11,695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14,718</w:t>
            </w:r>
          </w:p>
        </w:tc>
      </w:tr>
      <w:tr>
        <w:trPr>
          <w:trHeight w:val="203"/>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4,501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3,991</w:t>
            </w:r>
          </w:p>
        </w:tc>
      </w:tr>
      <w:tr>
        <w:trPr>
          <w:trHeight w:val="196"/>
        </w:trPr>
        <w:tc>
          <w:tcPr>
            <w:tcW w:w="7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168,439</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176,001</w:t>
            </w:r>
          </w:p>
        </w:tc>
      </w:tr>
      <w:tr>
        <w:trPr>
          <w:trHeight w:val="395"/>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5"/>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Common stock, $0.05 par value; 40,000 shares authorized, 27,056 shares issued</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1,353</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229,610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230,251</w:t>
            </w:r>
          </w:p>
        </w:tc>
      </w:tr>
      <w:tr>
        <w:trPr>
          <w:trHeight w:val="203"/>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121,001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126,272</w:t>
            </w: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03"/>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Treasury stock at cost, 15,866 shares and 14,565 shares</w:t>
            </w:r>
          </w:p>
        </w:tc>
        <w:tc>
          <w:tcPr>
            <w:tcW w:w="28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(312,752)</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(289,933)</w:t>
            </w:r>
          </w:p>
        </w:tc>
      </w:tr>
      <w:tr>
        <w:trPr>
          <w:trHeight w:val="196"/>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38,050</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66,911</w:t>
            </w:r>
          </w:p>
        </w:tc>
      </w:tr>
      <w:tr>
        <w:trPr>
          <w:trHeight w:val="236"/>
        </w:trPr>
        <w:tc>
          <w:tcPr>
            <w:tcW w:w="76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206,489</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242,912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-2922270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-2905125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-1868170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-1207770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-299720</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CONDENSED CONSOLIDATED STATEMENTS OF OPERATIONS AND STATEMENTS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OF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color w:val="auto"/>
              </w:rPr>
              <w:t>Quarter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Two Quarters Ended</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80" w:type="dxa"/>
            <w:vAlign w:val="bottom"/>
            <w:gridSpan w:val="4"/>
          </w:tcPr>
          <w:p>
            <w:pPr>
              <w:jc w:val="right"/>
              <w:ind w:right="91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4"/>
          </w:tcPr>
          <w:p>
            <w:pPr>
              <w:jc w:val="right"/>
              <w:ind w:right="899"/>
              <w:spacing w:after="0"/>
              <w:rPr>
                <w:sz w:val="20"/>
                <w:szCs w:val="20"/>
                <w:color w:val="auto"/>
              </w:rPr>
            </w:pPr>
            <w:r>
              <w:rPr>
                <w:rFonts w:ascii="Times New Roman" w:cs="Times New Roman" w:eastAsia="Times New Roman" w:hAnsi="Times New Roman"/>
                <w:sz w:val="16"/>
                <w:szCs w:val="16"/>
                <w:color w:val="auto"/>
              </w:rPr>
              <w:t>(unaudited)</w:t>
            </w: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59,647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59,612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123,692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128,698</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14,374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13,866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30,045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30,241</w:t>
            </w:r>
          </w:p>
        </w:tc>
        <w:tc>
          <w:tcPr>
            <w:tcW w:w="0" w:type="dxa"/>
            <w:vAlign w:val="bottom"/>
          </w:tcPr>
          <w:p>
            <w:pPr>
              <w:spacing w:after="0"/>
              <w:rPr>
                <w:sz w:val="1"/>
                <w:szCs w:val="1"/>
                <w:color w:val="auto"/>
              </w:rPr>
            </w:pPr>
          </w:p>
        </w:tc>
      </w:tr>
      <w:tr>
        <w:trPr>
          <w:trHeight w:val="212"/>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45,273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45,746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93,647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98,457</w:t>
            </w:r>
          </w:p>
        </w:tc>
        <w:tc>
          <w:tcPr>
            <w:tcW w:w="0" w:type="dxa"/>
            <w:vAlign w:val="bottom"/>
          </w:tcPr>
          <w:p>
            <w:pPr>
              <w:spacing w:after="0"/>
              <w:rPr>
                <w:sz w:val="1"/>
                <w:szCs w:val="1"/>
                <w:color w:val="auto"/>
              </w:rPr>
            </w:pPr>
          </w:p>
        </w:tc>
      </w:tr>
      <w:tr>
        <w:trPr>
          <w:trHeight w:val="42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43,497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89,618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92,291</w:t>
            </w:r>
          </w:p>
        </w:tc>
        <w:tc>
          <w:tcPr>
            <w:tcW w:w="0" w:type="dxa"/>
            <w:vAlign w:val="bottom"/>
          </w:tcPr>
          <w:p>
            <w:pPr>
              <w:spacing w:after="0"/>
              <w:rPr>
                <w:sz w:val="1"/>
                <w:szCs w:val="1"/>
                <w:color w:val="auto"/>
              </w:rPr>
            </w:pPr>
          </w:p>
        </w:tc>
      </w:tr>
      <w:tr>
        <w:trPr>
          <w:trHeight w:val="22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4,954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Building exit costs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12"/>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42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09"/>
        </w:trPr>
        <w:tc>
          <w:tcPr>
            <w:tcW w:w="4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8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2"/>
        </w:trPr>
        <w:tc>
          <w:tcPr>
            <w:tcW w:w="4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Basic and diluted</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22"/>
        </w:trPr>
        <w:tc>
          <w:tcPr>
            <w:tcW w:w="4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common shares:</w:t>
            </w: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13,097</w:t>
            </w: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11,816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13,236</w:t>
            </w:r>
          </w:p>
        </w:tc>
        <w:tc>
          <w:tcPr>
            <w:tcW w:w="0" w:type="dxa"/>
            <w:vAlign w:val="bottom"/>
          </w:tcPr>
          <w:p>
            <w:pPr>
              <w:spacing w:after="0"/>
              <w:rPr>
                <w:sz w:val="1"/>
                <w:szCs w:val="1"/>
                <w:color w:val="auto"/>
              </w:rPr>
            </w:pPr>
          </w:p>
        </w:tc>
      </w:tr>
      <w:tr>
        <w:trPr>
          <w:trHeight w:val="42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 net of income taxes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03"/>
        </w:trPr>
        <w:tc>
          <w:tcPr>
            <w:tcW w:w="4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$0, $0, $0, and $0</w:t>
            </w:r>
          </w:p>
        </w:tc>
        <w:tc>
          <w:tcPr>
            <w:tcW w:w="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(1,906)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(5,401)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(139)</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-2245360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-2245360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-2245360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-1962150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-1962150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-1962150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right"/>
              <w:ind w:right="1118"/>
              <w:spacing w:after="0"/>
              <w:rPr>
                <w:sz w:val="20"/>
                <w:szCs w:val="20"/>
                <w:color w:val="auto"/>
              </w:rPr>
            </w:pPr>
            <w:r>
              <w:rPr>
                <w:rFonts w:ascii="Times New Roman" w:cs="Times New Roman" w:eastAsia="Times New Roman" w:hAnsi="Times New Roman"/>
                <w:sz w:val="16"/>
                <w:szCs w:val="16"/>
                <w:color w:val="auto"/>
              </w:rPr>
              <w:t>Two Quarters Ended</w:t>
            </w:r>
          </w:p>
        </w:tc>
      </w:tr>
      <w:tr>
        <w:trPr>
          <w:trHeight w:val="185"/>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February 28,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February 28,</w:t>
            </w:r>
          </w:p>
        </w:tc>
      </w:tr>
      <w:tr>
        <w:trPr>
          <w:trHeight w:val="213"/>
        </w:trPr>
        <w:tc>
          <w:tcPr>
            <w:tcW w:w="7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4"/>
          </w:tcPr>
          <w:p>
            <w:pPr>
              <w:ind w:left="1160"/>
              <w:spacing w:after="0"/>
              <w:rPr>
                <w:sz w:val="20"/>
                <w:szCs w:val="20"/>
                <w:color w:val="auto"/>
              </w:rPr>
            </w:pPr>
            <w:r>
              <w:rPr>
                <w:rFonts w:ascii="Times New Roman" w:cs="Times New Roman" w:eastAsia="Times New Roman" w:hAnsi="Times New Roman"/>
                <w:sz w:val="16"/>
                <w:szCs w:val="16"/>
                <w:color w:val="auto"/>
              </w:rPr>
              <w:t>(unaudited)</w:t>
            </w:r>
          </w:p>
        </w:tc>
        <w:tc>
          <w:tcPr>
            <w:tcW w:w="136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7"/>
                <w:szCs w:val="17"/>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3,596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4,163</w:t>
            </w:r>
          </w:p>
        </w:tc>
      </w:tr>
      <w:tr>
        <w:trPr>
          <w:trHeight w:val="203"/>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Amortization of capitalized curriculum costs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2,515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2,171</w:t>
            </w:r>
          </w:p>
        </w:tc>
      </w:tr>
      <w:tr>
        <w:trPr>
          <w:trHeight w:val="20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7"/>
                <w:szCs w:val="17"/>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4,093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3,513</w:t>
            </w:r>
          </w:p>
        </w:tc>
      </w:tr>
      <w:tr>
        <w:trPr>
          <w:trHeight w:val="203"/>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510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right-of-use operating lease assets</w:t>
            </w:r>
          </w:p>
        </w:tc>
        <w:tc>
          <w:tcPr>
            <w:tcW w:w="260" w:type="dxa"/>
            <w:vAlign w:val="bottom"/>
          </w:tcPr>
          <w:p>
            <w:pPr>
              <w:spacing w:after="0"/>
              <w:rPr>
                <w:sz w:val="17"/>
                <w:szCs w:val="17"/>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287</w:t>
            </w: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Gain on license obligation restructuring</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Decrease in accounts receivable, net</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18,322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32,451</w:t>
            </w:r>
          </w:p>
        </w:tc>
      </w:tr>
      <w:tr>
        <w:trPr>
          <w:trHeight w:val="203"/>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Increase in inventories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03"/>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668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1,192</w:t>
            </w:r>
          </w:p>
        </w:tc>
      </w:tr>
      <w:tr>
        <w:trPr>
          <w:trHeight w:val="203"/>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w:t>
            </w:r>
          </w:p>
        </w:tc>
      </w:tr>
      <w:tr>
        <w:trPr>
          <w:trHeight w:val="203"/>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Decrease in deferred revenue and customer deposits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(10,359)</w:t>
            </w:r>
          </w:p>
        </w:tc>
      </w:tr>
      <w:tr>
        <w:trPr>
          <w:trHeight w:val="203"/>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Decrease in income taxes payable/receivable</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r>
      <w:tr>
        <w:trPr>
          <w:trHeight w:val="202"/>
        </w:trPr>
        <w:tc>
          <w:tcPr>
            <w:tcW w:w="76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Decrease in other long-term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196"/>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16,351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12,776</w:t>
            </w: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Curriculum development costs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(2,380)</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Reacquisition of license rights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196"/>
        </w:trPr>
        <w:tc>
          <w:tcPr>
            <w:tcW w:w="7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(4,975)</w:t>
            </w:r>
          </w:p>
        </w:tc>
      </w:tr>
      <w:tr>
        <w:trPr>
          <w:trHeight w:val="395"/>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5"/>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line of credit borrowings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11,677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line="206"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line of credit borrowings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8"/>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Principal payments on financing obligation</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(1,908)</w:t>
            </w: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(14,658)</w:t>
            </w:r>
          </w:p>
        </w:tc>
      </w:tr>
      <w:tr>
        <w:trPr>
          <w:trHeight w:val="203"/>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sales of common stock held in treasury</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558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675</w:t>
            </w:r>
          </w:p>
        </w:tc>
      </w:tr>
      <w:tr>
        <w:trPr>
          <w:trHeight w:val="196"/>
        </w:trPr>
        <w:tc>
          <w:tcPr>
            <w:tcW w:w="7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(27,553)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(15,891)</w:t>
            </w:r>
          </w:p>
        </w:tc>
      </w:tr>
      <w:tr>
        <w:trPr>
          <w:trHeight w:val="19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 equivalents</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w:t>
            </w:r>
          </w:p>
        </w:tc>
      </w:tr>
      <w:tr>
        <w:trPr>
          <w:trHeight w:val="203"/>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31,698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48,663</w:t>
            </w:r>
          </w:p>
        </w:tc>
      </w:tr>
      <w:tr>
        <w:trPr>
          <w:trHeight w:val="196"/>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13,717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40,393</w:t>
            </w: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6,029</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146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266</w:t>
            </w:r>
          </w:p>
        </w:tc>
      </w:tr>
      <w:tr>
        <w:trPr>
          <w:trHeight w:val="402"/>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2"/>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 and capitalized curriculum financed by accounts</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payable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1,172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rPr>
              <w:t>913</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Consideration for reacquired license rights from liabilities of seller</w:t>
            </w:r>
          </w:p>
        </w:tc>
        <w:tc>
          <w:tcPr>
            <w:tcW w:w="260" w:type="dxa"/>
            <w:vAlign w:val="bottom"/>
          </w:tcPr>
          <w:p>
            <w:pPr>
              <w:spacing w:after="0"/>
              <w:rPr>
                <w:sz w:val="18"/>
                <w:szCs w:val="18"/>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168</w:t>
            </w:r>
          </w:p>
        </w:tc>
      </w:tr>
      <w:tr>
        <w:trPr>
          <w:trHeight w:val="203"/>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right-of-use operating lease assets for operating lease liabilities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310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-3839845</wp:posOffset>
            </wp:positionV>
            <wp:extent cx="111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-2905125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-1996440</wp:posOffset>
            </wp:positionV>
            <wp:extent cx="111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-1722755</wp:posOffset>
            </wp:positionV>
            <wp:extent cx="111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-1456690</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CONDENSED 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and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Treasury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August 31, 2025</w:t>
            </w:r>
          </w:p>
        </w:tc>
        <w:tc>
          <w:tcPr>
            <w:tcW w:w="11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27,056</w:t>
            </w: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280" w:type="dxa"/>
            <w:vAlign w:val="bottom"/>
            <w:gridSpan w:val="2"/>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230,251</w:t>
            </w:r>
          </w:p>
        </w:tc>
        <w:tc>
          <w:tcPr>
            <w:tcW w:w="3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126,272</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(1,032)</w:t>
            </w:r>
          </w:p>
        </w:tc>
        <w:tc>
          <w:tcPr>
            <w:tcW w:w="12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(14,565)</w:t>
            </w: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(289,933)</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2,643</w:t>
            </w: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treasury</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Purchases of common shares</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(11,123)</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treasury</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4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(3,289)</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November 30, 2025</w:t>
            </w:r>
          </w:p>
        </w:tc>
        <w:tc>
          <w:tcPr>
            <w:tcW w:w="11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27,056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229,327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122,983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(1,238)</w:t>
            </w:r>
          </w:p>
        </w:tc>
        <w:tc>
          <w:tcPr>
            <w:tcW w:w="12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(15,053)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(298,413)</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treasury</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Purchases of common shares</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(16,988)</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treasury</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4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Unvested stock award</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February 28, 2026</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27,056</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1,353</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229,610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121,001</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(1,162)</w:t>
            </w:r>
          </w:p>
        </w:tc>
        <w:tc>
          <w:tcPr>
            <w:tcW w:w="220" w:type="dxa"/>
            <w:vAlign w:val="bottom"/>
            <w:gridSpan w:val="2"/>
          </w:tcPr>
          <w:p>
            <w:pPr>
              <w:spacing w:after="0"/>
              <w:rPr>
                <w:sz w:val="12"/>
                <w:szCs w:val="12"/>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(15,866)</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(312,752)</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-128270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-128270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-128270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-128270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-128270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20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u w:val="single" w:color="auto"/>
          <w:color w:val="auto"/>
        </w:rPr>
        <w:t>CONDENSED CONSOLIDATED STATEMENTS OF CHANGES IN SHAREHOLDERS’ EQUITY –</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PRIOR YEAR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and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Treasury</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August 31, 2024</w:t>
            </w:r>
          </w:p>
        </w:tc>
        <w:tc>
          <w:tcPr>
            <w:tcW w:w="11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27,056</w:t>
            </w: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280" w:type="dxa"/>
            <w:vAlign w:val="bottom"/>
            <w:gridSpan w:val="2"/>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231,813</w:t>
            </w:r>
          </w:p>
        </w:tc>
        <w:tc>
          <w:tcPr>
            <w:tcW w:w="3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123,204</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(768)</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(14,084)</w:t>
            </w:r>
          </w:p>
        </w:tc>
        <w:tc>
          <w:tcPr>
            <w:tcW w:w="3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(272,467)</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(6,707)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7,027</w:t>
            </w: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treasury</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Purchases of common shares</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(5,954)</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treasury</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1,181</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November 30, 2024</w:t>
            </w:r>
          </w:p>
        </w:tc>
        <w:tc>
          <w:tcPr>
            <w:tcW w:w="11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27,056</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227,273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124,385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(970)</w:t>
            </w:r>
          </w:p>
        </w:tc>
        <w:tc>
          <w:tcPr>
            <w:tcW w:w="1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(13,867)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(271,394)</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treasury</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Purchases of common shares</w:t>
            </w:r>
          </w:p>
        </w:tc>
        <w:tc>
          <w:tcPr>
            <w:tcW w:w="1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(8,704)</w:t>
            </w:r>
          </w:p>
        </w:tc>
        <w:tc>
          <w:tcPr>
            <w:tcW w:w="0" w:type="dxa"/>
            <w:vAlign w:val="bottom"/>
          </w:tcPr>
          <w:p>
            <w:pPr>
              <w:spacing w:after="0"/>
              <w:rPr>
                <w:sz w:val="1"/>
                <w:szCs w:val="1"/>
                <w:color w:val="auto"/>
              </w:rPr>
            </w:pPr>
          </w:p>
        </w:tc>
      </w:tr>
      <w:tr>
        <w:trPr>
          <w:trHeight w:val="171"/>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treasury</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Unvested stock award</w:t>
            </w: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26"/>
        </w:trPr>
        <w:tc>
          <w:tcPr>
            <w:tcW w:w="2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 translation</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February 28, 2025</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27,056</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1,353</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228,143</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123,309</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(1,012)</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(14,075)</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(279,267)</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-128270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-128270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-128270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-128270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u w:val="single" w:color="auto"/>
          <w:color w:val="auto"/>
        </w:rPr>
        <w:t>FRANKLIN COVEY CO.</w:t>
      </w:r>
    </w:p>
    <w:p>
      <w:pPr>
        <w:spacing w:after="0" w:line="20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u w:val="single" w:color="auto"/>
          <w:color w:val="auto"/>
        </w:rPr>
        <w:t>NOTES TO CONDENSED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(unaudited)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BASIS OF PRESENTATION</w:t>
      </w:r>
    </w:p>
    <w:p>
      <w:pPr>
        <w:spacing w:after="0" w:line="20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 xml:space="preserve">Franklin Covey Co. (hereafter referred to as we, us, our, or the Company) is a global company that gives strategy the human edge. We help clients achieve breakthrough results and transform how they execute strategy at scale. Our Enterprise and Education Divisions develop high-performing leaders at all levels of the organization and align people around purpose and priorities. Through proven, principle-centered frameworks and practices, we build high-trust leaders, teams, and cultures and help organizations translate strategy into consistent execution. Our approach enables lasting, repeatable results by helping clients identify, align, and execute their most important priorities. This approach has been tested and refined through more than 40 years of work with tens of thousands of leaders and organizations. We have some of the best-known solutions in the industry, including a suite of individual-effectiveness and leadership-development training and products based on the best-selling books, </w:t>
      </w:r>
      <w:r>
        <w:rPr>
          <w:rFonts w:ascii="Times New Roman" w:cs="Times New Roman" w:eastAsia="Times New Roman" w:hAnsi="Times New Roman"/>
          <w:sz w:val="20"/>
          <w:szCs w:val="20"/>
          <w:i w:val="1"/>
          <w:iCs w:val="1"/>
          <w:color w:val="auto"/>
        </w:rPr>
        <w:t>The 7 Habits of Highly Effective People, The Speed of Trust, The Leader In Me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Four Disciplines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Execution</w:t>
      </w:r>
      <w:r>
        <w:rPr>
          <w:rFonts w:ascii="Times New Roman" w:cs="Times New Roman" w:eastAsia="Times New Roman" w:hAnsi="Times New Roman"/>
          <w:sz w:val="20"/>
          <w:szCs w:val="20"/>
          <w:color w:val="auto"/>
        </w:rPr>
        <w:t>, and proprietary content in the areas of Leadership, Execution, Productivity, Sales Performance, and Educational improvement.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Our solutions and offerings are described in further detail at </w:t>
      </w:r>
      <w:r>
        <w:rPr>
          <w:rFonts w:ascii="Times New Roman" w:cs="Times New Roman" w:eastAsia="Times New Roman" w:hAnsi="Times New Roman"/>
          <w:sz w:val="20"/>
          <w:szCs w:val="20"/>
          <w:u w:val="single" w:color="auto"/>
          <w:color w:val="auto"/>
        </w:rPr>
        <w:t>www.franklincovey.com</w:t>
      </w:r>
      <w:r>
        <w:rPr>
          <w:rFonts w:ascii="Times New Roman" w:cs="Times New Roman" w:eastAsia="Times New Roman" w:hAnsi="Times New Roman"/>
          <w:sz w:val="20"/>
          <w:szCs w:val="20"/>
          <w:color w:val="auto"/>
        </w:rPr>
        <w:t xml:space="preserve"> and elsewhere in this report.</w:t>
      </w:r>
    </w:p>
    <w:p>
      <w:pPr>
        <w:spacing w:after="0" w:line="17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reflect, in the opinion of management, all adjustments (consisting of normal recurring accruals) necessary to present fairly the financial position and results of operations of the Company as of the dates and for the periods indicated. Certain information and footnote disclosures normally included in financial statements prepared in accordance with accounting principles generally accepted in the United States of America (GAAP) have been condensed or omitted pursuant to Securities and Exchange Commission (SEC) rules and regulations. The information included in this quarterly report on Form 10-Q should be read in conjunction with the consolidated financial statements and related notes included in our Annual Report on Form 10-K for the fiscal year ended August 31, 2025, as filed with the SEC on November 12, 2025 (the Annual Report).</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us to make estimates and assumptions that affect the reported amounts of assets and liabilities and the disclosure of contingent assets and liabilities at the dates of the financial statements, and the reported amounts of revenues and expenses during the reporting periods. Actual results could differ from those estimates.</w:t>
      </w:r>
    </w:p>
    <w:p>
      <w:pPr>
        <w:spacing w:after="0" w:line="161"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results of operations for the quarter and two quarters ended February 28, 2026, are not necessarily indicative of results expected for the entire fiscal year ending August 31, 2026, or for any future periods.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93"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Our inventories are stated at the lower of cost or net realizable value, cost being determined using the first-in, first-out method, and were comprised of finished goods at each of the balance sheet dates presented in this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 Issued Not Yet Adopted</w:t>
      </w:r>
    </w:p>
    <w:p>
      <w:pPr>
        <w:spacing w:after="0" w:line="20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 xml:space="preserve">On December 14, 2023, the Financial Accounting Standards Board (FASB) issued Accounting Standards Update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ASU 2023-09 provides guidance to enhance transparency about income tax information through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improvements to income tax disclosures primarily related to the effective income tax rate reconciliation and income taxes paid. This new guidance also includes certain other amendments to improve the effectiveness of income tax disclosures. We are currently assessing the anticipated impact of this standard on our consolidated financial statements. The amendments are effective for our annual periods beginning September 1, 2025, with early adoption permitted, and should be applied either prospectively or retrospectively. The Company is currently evaluating the ASU to determine its impact on our disclosures.</w:t>
      </w:r>
    </w:p>
    <w:p>
      <w:pPr>
        <w:spacing w:after="0" w:line="15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xml:space="preserve"> which requires a public entity to disclose certain operating expenses disaggregated into categories, such as purchases of inventory,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employee compensation, depreciation, and intangible asset amortization on an annual and interim basis. The guidance in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w:t>
      </w:r>
    </w:p>
    <w:p>
      <w:pPr>
        <w:spacing w:after="0" w:line="15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On September 18, 2025, the FASB issued ASU 2025-06, </w:t>
      </w:r>
      <w:r>
        <w:rPr>
          <w:rFonts w:ascii="Times New Roman" w:cs="Times New Roman" w:eastAsia="Times New Roman" w:hAnsi="Times New Roman"/>
          <w:sz w:val="20"/>
          <w:szCs w:val="20"/>
          <w:i w:val="1"/>
          <w:iCs w:val="1"/>
          <w:color w:val="auto"/>
        </w:rPr>
        <w:t>Targeted Improvements to the Accounting for Internal-Use Software</w:t>
      </w:r>
      <w:r>
        <w:rPr>
          <w:rFonts w:ascii="Times New Roman" w:cs="Times New Roman" w:eastAsia="Times New Roman" w:hAnsi="Times New Roman"/>
          <w:sz w:val="20"/>
          <w:szCs w:val="20"/>
          <w:color w:val="auto"/>
        </w:rPr>
        <w:t>, which amends certain aspects of the accounting for and disclosure of software costs under ASC 350-40. This ASU makes targeted improvements to the accounting for software costs. ASU 2025-06 also supersedes the guidance for website development costs along with the recognition requirements for development costs specific to websites. This guidance is effective for all entities for annual reporting periods beginning after December 15, 2027, and interim reporting periods within those annual reporting periods. Early adoption is permitted in an interim or annual reporting period in which financial statements have not yet been issued or made available for issuance. The Company is currently evaluating the ASU to determine its impact on our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PURCHASES OF COMMON STOCK</w:t>
      </w:r>
    </w:p>
    <w:p>
      <w:pPr>
        <w:spacing w:after="0" w:line="20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purchases of common stock during the first two quarters of fiscal 2026 consisted of shares purchased on the open market and shares withheld for income taxes on stock-based compensation awards. Our stock-based compensation plans allow shares to be withheld to cover statutory income taxes if elected by the award recipient. These shares are valued at the market price on the date the shares are withheld. Our fiscal 2026 purchases of common stock through February 28, 2026, were comprised of the following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20" w:type="dxa"/>
            <w:vAlign w:val="bottom"/>
          </w:tcPr>
          <w:p>
            <w:pPr>
              <w:spacing w:after="0"/>
              <w:rPr>
                <w:sz w:val="18"/>
                <w:szCs w:val="18"/>
                <w:color w:val="auto"/>
              </w:rPr>
            </w:pPr>
          </w:p>
        </w:tc>
        <w:tc>
          <w:tcPr>
            <w:tcW w:w="17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Cost</w:t>
            </w:r>
          </w:p>
        </w:tc>
      </w:tr>
      <w:tr>
        <w:trPr>
          <w:trHeight w:val="19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withheld for taxes on stock-</w:t>
            </w:r>
          </w:p>
        </w:tc>
        <w:tc>
          <w:tcPr>
            <w:tcW w:w="1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based compensation awards</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w:t>
            </w:r>
          </w:p>
        </w:tc>
      </w:tr>
      <w:tr>
        <w:trPr>
          <w:trHeight w:val="203"/>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Open market purchases</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1,503</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26,939</w:t>
            </w:r>
          </w:p>
        </w:tc>
      </w:tr>
      <w:tr>
        <w:trPr>
          <w:trHeight w:val="196"/>
        </w:trPr>
        <w:tc>
          <w:tcPr>
            <w:tcW w:w="7620" w:type="dxa"/>
            <w:vAlign w:val="bottom"/>
          </w:tcPr>
          <w:p>
            <w:pPr>
              <w:spacing w:after="0"/>
              <w:rPr>
                <w:sz w:val="17"/>
                <w:szCs w:val="17"/>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1,570</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28,111</w:t>
            </w:r>
          </w:p>
        </w:tc>
      </w:tr>
      <w:tr>
        <w:trPr>
          <w:trHeight w:val="20"/>
        </w:trPr>
        <w:tc>
          <w:tcPr>
            <w:tcW w:w="76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-162560</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On August 14, 2025 we initiated a 10b5-1 plan to purchase up to $10.0 million of our common stock through daily transactions. This 10b5-1 plan was completed in October 2025. On November 17, 2025, we initiated a new 10b5-1 plan to purchase up to $20.0 million of our common stock through daily transactions. This 10b5-1 plan was completed in January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 Balances</w:t>
      </w:r>
    </w:p>
    <w:p>
      <w:pPr>
        <w:spacing w:after="0" w:line="206"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9"/>
          <w:szCs w:val="19"/>
          <w:color w:val="auto"/>
        </w:rPr>
        <w:t>Our deferred revenue totaled $101.5 million at February 28, 2026, and $111.7 million at August 31, 2025, of which $3.5 million and $5.1 million were classified as components of other long-term liabilities at February 28, 2026 and August 31, 2025, respectively. During the quarter and two quarters ended February 28, 2026, we recognized $38.0 million and $75.5 million of previously deferred revenue.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 xml:space="preserve">Deferred revenue primarily consists of billings or payments received in advance of revenue being recognized from subscription services and related professional and other services. Deferred revenue is recognized in revenue as the applicable revenue recognition criteria are met. We generally invoice customers in annual installments upon execution of a contract or as contractually committed services are delivered. The </w:t>
      </w:r>
      <w:r>
        <w:rPr>
          <w:rFonts w:ascii="Times New Roman" w:cs="Times New Roman" w:eastAsia="Times New Roman" w:hAnsi="Times New Roman"/>
          <w:sz w:val="20"/>
          <w:szCs w:val="20"/>
          <w:i w:val="1"/>
          <w:iCs w:val="1"/>
          <w:color w:val="auto"/>
        </w:rPr>
        <w:t xml:space="preserve">Leader in Me </w:t>
      </w:r>
      <w:r>
        <w:rPr>
          <w:rFonts w:ascii="Times New Roman" w:cs="Times New Roman" w:eastAsia="Times New Roman" w:hAnsi="Times New Roman"/>
          <w:sz w:val="20"/>
          <w:szCs w:val="20"/>
          <w:color w:val="auto"/>
        </w:rPr>
        <w:t>membership offering is bifurcated into a portal membership obligation and coaching and materials delivery obligations.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have determined that it is appropriate to recognize revenue related to the portal membership over the term of the underlying contract and to recognize revenue from coaching as those services are performed or as materials are shipped. The combined contract amount is recorded in deferred revenue until the performance obligations are satisfied. Any additional coaching or training days which are contracted independent of a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xml:space="preserve"> membership are recorded as revenue in accordance with our general policy for services and products as described in our Annual Report. During the first two quarters of fiscal 2026, we entered into non-cancelable contracts for the delivery of the All Access Pass (AAP) and related services and materials in the Enterprise Division. These contract amounts are recorded in deferred revenue until the performance obligations are satisfied or until the end of the contract term.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Remaining Performance Obligations</w:t>
      </w:r>
    </w:p>
    <w:p>
      <w:pPr>
        <w:spacing w:after="0" w:line="20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Whenever possible, we enter into multi-year non-cancellable contracts which are invoiced either upon execution of the contract or at the beginning of each annual contract period. Remaining transaction price represents contracted revenue that has not yet been recognized, including unearned revenue and unbilled amounts that will be recognized as revenue in future periods. Transaction price is influenced by factors such as inflation, the average length of the contract term, and the ability of the Company to continue to enter into multi-year non-cancellable contracts. At February 28, 2026, we had $166.4 million of remaining performance obligations, including our deferred revenue. The remaining performance obligation does not include customer deposits, as these amounts are generally refundable at the client’s request prior to the satisfaction of the obligation.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Disaggregated Revenue Information</w:t>
      </w:r>
    </w:p>
    <w:p>
      <w:pPr>
        <w:spacing w:after="0" w:line="189" w:lineRule="exact"/>
        <w:rPr>
          <w:sz w:val="20"/>
          <w:szCs w:val="20"/>
          <w:color w:val="auto"/>
        </w:rPr>
      </w:pPr>
    </w:p>
    <w:p>
      <w:pPr>
        <w:ind w:right="720"/>
        <w:spacing w:after="0" w:line="273" w:lineRule="auto"/>
        <w:rPr>
          <w:sz w:val="20"/>
          <w:szCs w:val="20"/>
          <w:color w:val="auto"/>
        </w:rPr>
      </w:pPr>
      <w:r>
        <w:rPr>
          <w:rFonts w:ascii="Times New Roman" w:cs="Times New Roman" w:eastAsia="Times New Roman" w:hAnsi="Times New Roman"/>
          <w:sz w:val="20"/>
          <w:szCs w:val="20"/>
          <w:color w:val="auto"/>
        </w:rPr>
        <w:t xml:space="preserve">Refer to Note 7, </w:t>
      </w:r>
      <w:r>
        <w:rPr>
          <w:rFonts w:ascii="Times New Roman" w:cs="Times New Roman" w:eastAsia="Times New Roman" w:hAnsi="Times New Roman"/>
          <w:sz w:val="20"/>
          <w:szCs w:val="20"/>
          <w:i w:val="1"/>
          <w:iCs w:val="1"/>
          <w:color w:val="auto"/>
        </w:rPr>
        <w:t>Segment Information</w:t>
      </w:r>
      <w:r>
        <w:rPr>
          <w:rFonts w:ascii="Times New Roman" w:cs="Times New Roman" w:eastAsia="Times New Roman" w:hAnsi="Times New Roman"/>
          <w:sz w:val="20"/>
          <w:szCs w:val="20"/>
          <w:color w:val="auto"/>
        </w:rPr>
        <w:t>, to these unaudited condensed consolidated financial statements for our disaggregated revenue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STOCK-BASED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stock-based compensation expense was comprised of the following for the periods presented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color w:val="auto"/>
              </w:rPr>
              <w:t>Quarter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Two Quarters Ended</w:t>
            </w:r>
          </w:p>
        </w:tc>
      </w:tr>
      <w:tr>
        <w:trPr>
          <w:trHeight w:val="18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r>
      <w:tr>
        <w:trPr>
          <w:trHeight w:val="213"/>
        </w:trPr>
        <w:tc>
          <w:tcPr>
            <w:tcW w:w="5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incentive awards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2,529</w:t>
            </w:r>
          </w:p>
        </w:tc>
      </w:tr>
      <w:tr>
        <w:trPr>
          <w:trHeight w:val="202"/>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Strive acquisition compensation</w:t>
            </w:r>
          </w:p>
        </w:tc>
        <w:tc>
          <w:tcPr>
            <w:tcW w:w="1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r>
      <w:tr>
        <w:trPr>
          <w:trHeight w:val="20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stock awards</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w:t>
            </w:r>
          </w:p>
        </w:tc>
      </w:tr>
      <w:tr>
        <w:trPr>
          <w:trHeight w:val="20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r>
      <w:tr>
        <w:trPr>
          <w:trHeight w:val="236"/>
        </w:trPr>
        <w:tc>
          <w:tcPr>
            <w:tcW w:w="5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-162560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-162560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9"/>
          <w:szCs w:val="19"/>
          <w:color w:val="auto"/>
        </w:rPr>
        <w:t>During the quarter and two quarters ended February 28, 2026, we issued 133,571 shares and 269,714 shares, respectively, of our common stock under various stock-based compensation arrangements, including shares sold through our employee stock purchase plan (ESPP).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Long-Term Incentive Plan Award</w:t>
      </w:r>
    </w:p>
    <w:p>
      <w:pPr>
        <w:spacing w:after="0" w:line="2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On November 13, 2025, the Organization and Compensation Committee granted a new long-term incentive plan (LTIP) award to our executive officers and other members of management. The fiscal 2026 LTIP award consists of three tranches, one with a time-based vesting condition and two with performance-based vesting conditions as described below: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20" w:right="40" w:hanging="503"/>
        <w:spacing w:after="0" w:line="268" w:lineRule="auto"/>
        <w:tabs>
          <w:tab w:leader="none" w:pos="10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Time-Based Award Shares </w:t>
      </w:r>
      <w:r>
        <w:rPr>
          <w:rFonts w:ascii="Times New Roman" w:cs="Times New Roman" w:eastAsia="Times New Roman" w:hAnsi="Times New Roman"/>
          <w:sz w:val="19"/>
          <w:szCs w:val="19"/>
          <w:color w:val="auto"/>
        </w:rPr>
        <w:t>– 25% of a participant’s fiscal 2026 LTIP award shares vest over a three-year service period.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2026 LTIP time-based awards step-vest with one-third vesting in each of November 2026, 2027, and 2028. The total number of time-based shares that may be earned by participants in the 2026 LTIP award is 77,642 shares (adjusted for forfeitures). The number of shares awarded in this tranche is not variable and will not fluctuate based on financial or performance measures.</w:t>
      </w:r>
    </w:p>
    <w:p>
      <w:pPr>
        <w:spacing w:after="0" w:line="50" w:lineRule="exact"/>
        <w:rPr>
          <w:rFonts w:ascii="Times New Roman" w:cs="Times New Roman" w:eastAsia="Times New Roman" w:hAnsi="Times New Roman"/>
          <w:sz w:val="19"/>
          <w:szCs w:val="19"/>
          <w:color w:val="auto"/>
        </w:rPr>
      </w:pPr>
    </w:p>
    <w:p>
      <w:pPr>
        <w:ind w:left="1020" w:right="40" w:hanging="503"/>
        <w:spacing w:after="0" w:line="24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Performance-Based Award Shares </w:t>
      </w:r>
      <w:r>
        <w:rPr>
          <w:rFonts w:ascii="Times New Roman" w:cs="Times New Roman" w:eastAsia="Times New Roman" w:hAnsi="Times New Roman"/>
          <w:sz w:val="20"/>
          <w:szCs w:val="20"/>
          <w:color w:val="auto"/>
        </w:rPr>
        <w:t>– The remaining 75% of a participant’s fiscal 2026 LTIP award is based on cumulative net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and cumulative Adjusted EBITDA achieved over a three-year measurement period consisting of fiscal 2026, fiscal 2027, and fiscal 2028. 70% of the performance-based shares will be earned on cumulative net revenue and 30% of the performance-based shares will be earned on cumulative Adjusted EBITDA. The number of shares that eventually vest to participants in this tranche is variable and may be 50% of the award (minimum award threshold) or up to 175% of the participant’s award (maximum threshold). The number of shares that may be earned for achieving 100% of the performance-based objectives totals 232,970 shares (adjusted for forfeitures). The maximum number of shares that may be awarded in connection with the performance-based tranches of the 2026 LTIP totals 407,639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Strive Acquisition Amendment</w:t>
      </w:r>
    </w:p>
    <w:p>
      <w:pPr>
        <w:spacing w:after="0" w:line="23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In connection with the fiscal 2021 acquisition of Strive Talent, Inc. (Strive), the former principal owner of Strive was entitled to earn up to approximately $4.2 million of additional consideration based on All Access Pass subscription and subscription services revenue over a five-year measurement period ending on May 31, 2026. These contingent payments were only earned if the former principal owner remained employed through the first four years of the measurement period. In an effort to retain the former principal owner of Strive, the Company and the former principal owner agreed to a modification of the acquisition agreement. In exchange for continued employment through February 27, 2026, the Company agreed to pay the former principal owner of Strive the remaining $1.4 million of unearned contingent consideration immediately following the end our second quarter. The Company subsequently issued 80,434 shares of its common stock under the terms of this modification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Long-Term Incentive Performance and Retention Plan</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a long-term equity incentive plan for client partners, managing directors, and certain other associates that we believe are critical to our long-term success. The number of shares granted to sales-related roles is generally based on the achievement of specified annual revenue goals while other awards are for an amount determined by the Organization and Compensation Committee of the Board of Directors. These time-based awards are granted after the completion of each fiscal year and vest over a three-year service period, with one-third of the shares vesting on the anniversary of the grant date of each subsequent year. We granted a total of 148,708 unvested share units (adjusted for forfeitures) in fiscal 2026 to participants under the terms of this long-term incentive plan. The compensation cost of these awards is included in the long-term incentive awards category in the preceding table.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Board of Director Unvested Stock Award</w:t>
      </w:r>
    </w:p>
    <w:p>
      <w:pPr>
        <w:spacing w:after="0" w:line="19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color w:val="auto"/>
        </w:rPr>
        <w:t>Our annual unvested stock award granted to non-employee members of the Board of Directors is administered under the terms of our omnibus incentive plan, and is designed to provide our non-employee directors, who are not eligible to participate in our employee stock purchase plan, an opportunity to obtain an interest in the Company through the acquisition of shares of our common stock as part of their compensation. The annual award is normally granted in January of each year on the same day as our annual shareholders’ meeting. For the fiscal 2026 award, each eligible director received a whole share grant equal to $120,000 with a one-year vesting period. Our Board of Directors unvested stock award activity during the two quarters ended February 28, 2026 consisted of the following: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Weighted-Average</w:t>
            </w:r>
          </w:p>
        </w:tc>
      </w:tr>
      <w:tr>
        <w:trPr>
          <w:trHeight w:val="202"/>
        </w:trPr>
        <w:tc>
          <w:tcPr>
            <w:tcW w:w="7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Grant Date</w:t>
            </w:r>
          </w:p>
        </w:tc>
      </w:tr>
      <w:tr>
        <w:trPr>
          <w:trHeight w:val="203"/>
        </w:trPr>
        <w:tc>
          <w:tcPr>
            <w:tcW w:w="7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Fair Value</w:t>
            </w:r>
          </w:p>
        </w:tc>
      </w:tr>
      <w:tr>
        <w:trPr>
          <w:trHeight w:val="213"/>
        </w:trPr>
        <w:tc>
          <w:tcPr>
            <w:tcW w:w="7680" w:type="dxa"/>
            <w:vAlign w:val="bottom"/>
          </w:tcPr>
          <w:p>
            <w:pPr>
              <w:spacing w:after="0"/>
              <w:rPr>
                <w:sz w:val="18"/>
                <w:szCs w:val="18"/>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Number of Shares</w:t>
            </w:r>
          </w:p>
        </w:tc>
        <w:tc>
          <w:tcPr>
            <w:tcW w:w="18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Per Share</w:t>
            </w:r>
          </w:p>
        </w:tc>
      </w:tr>
      <w:tr>
        <w:trPr>
          <w:trHeight w:val="19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stock awards at August 31, 2025</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27,336</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(27,336)</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2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Unvested stock awards at February 28, 2026</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06"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We have an ESPP that offers qualified employees the opportunity to purchase shares of our common stock at a price equal to 85% of the average fair market value of our common stock on the last trading day of each fiscal quarter. During the quarter and two quarters ended February 28, 2026, we sold 20,096 shares and 37,537 shares of our common stock to participants in the ESPP.</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RESTRUCTURING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Long-Term Restructuring Plan</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During the quarter ended February 28, 2026, we initiated a long-term restructuring plan that is designed to streamline and simplify our operating model, focus investment in growth areas, improve processes, consolidate and centralize certain functions, and provide organizational focus to realign talent with current and expected business needs. This restructuring plan is expected to span four or five quarters and may incur various costs to implement the organizational and process changes. In the second quarter of fiscal 2026, we expensed $1.5 million of restructuring costs related to this new longer-term restructuring plan. These costs were comprised primarily of severance and related expenses for 7 employees and are expected to be paid out over the next three quarters. Approximately $1.5 million was attributable to our North America segment and approximately $30,000 was attributable to our International segment. At February 28, 2026, we had $0.7 million included in accrued liabilities on our condensed consolidated balance sheet for these restructuring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First Quarter Restructuring Costs</w:t>
      </w:r>
    </w:p>
    <w:p>
      <w:pPr>
        <w:spacing w:after="0" w:line="2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During the first quarter of fiscal 2026, we expensed $3.4 million for restructuring costs to streamline our organizational structure and reduce ongoing operating costs. The restructuring charge was comprised of severance costs to approximately 45 associates who were impacted by the event. Approximately $2.3 million of the restructuring charge was attributable to the North America segment, $0.4 million was for the International segment, and $0.7 million was for the Education Division. We paid the majority of these severance benefits during the first two quarters of fiscal 2026 and at February 28, 2026, we had $0.2 million of these costs remaining in accrued liabilities on our condensed consolidated balance sheet for this restructuring event.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EARNINGS (LOSS) PER SHARE</w:t>
      </w:r>
    </w:p>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following schedule shows the calculation of net income (loss) per common share for the periods presented (in thousands, except per-share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color w:val="auto"/>
              </w:rPr>
              <w:t>Quarter Ended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Two Quarters Ended</w:t>
            </w:r>
          </w:p>
        </w:tc>
      </w:tr>
      <w:tr>
        <w:trPr>
          <w:trHeight w:val="185"/>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r>
      <w:tr>
        <w:trPr>
          <w:trHeight w:val="213"/>
        </w:trPr>
        <w:tc>
          <w:tcPr>
            <w:tcW w:w="4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 for basic and diluted income per share:</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4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Denominator for basic and diluted income per share:</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13,097</w:t>
            </w:r>
          </w:p>
        </w:tc>
      </w:tr>
      <w:tr>
        <w:trPr>
          <w:trHeight w:val="20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 awards</w:t>
            </w:r>
          </w:p>
        </w:tc>
        <w:tc>
          <w:tcPr>
            <w:tcW w:w="1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r>
      <w:tr>
        <w:trPr>
          <w:trHeight w:val="236"/>
        </w:trPr>
        <w:tc>
          <w:tcPr>
            <w:tcW w:w="4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0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11,422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13,102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11,816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13,236</w:t>
            </w:r>
          </w:p>
        </w:tc>
      </w:tr>
      <w:tr>
        <w:trPr>
          <w:trHeight w:val="383"/>
        </w:trPr>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EPS Calculations: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5"/>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r>
      <w:tr>
        <w:trPr>
          <w:trHeight w:val="203"/>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-668020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-650875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-668020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-650875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-668020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-650875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Since we incurred a net loss for the quarter and two quarters ended February 28, 2026, no potentially dilutive securities are included in the calculation of net loss per share because their inclusion would be anti-dilutive. The number of dilutive stock-based compensation awards as of February 28, 2026 would have been approximately 135,000 shares.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SEGMENT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0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Our revenues are primarily comprised of training and consulting services and our internal reporting and operating structure is currently organized around two divisions: the Enterprise Division, which consists of our North America and International segments, and the Education Division, which is comprised of our Education practice. We have determined that our chief operating decision maker (CODM) continues to be the CEO. Beginning with the first quarter of fiscal 2026, our CODM began to manage our business, allocate resources, and evaluate performance based on changes that were made in the Company’s reporting and management structure. Accordingly, we realigned our reportable segments to those shown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operations consist of three operating and reportable segments as described below:</w:t>
      </w:r>
    </w:p>
    <w:p>
      <w:pPr>
        <w:spacing w:after="0" w:line="185" w:lineRule="exact"/>
        <w:rPr>
          <w:sz w:val="20"/>
          <w:szCs w:val="20"/>
          <w:color w:val="auto"/>
        </w:rPr>
      </w:pPr>
    </w:p>
    <w:p>
      <w:pPr>
        <w:ind w:left="760" w:right="20" w:hanging="378"/>
        <w:spacing w:after="0" w:line="250"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North America – </w:t>
      </w:r>
      <w:r>
        <w:rPr>
          <w:rFonts w:ascii="Times New Roman" w:cs="Times New Roman" w:eastAsia="Times New Roman" w:hAnsi="Times New Roman"/>
          <w:sz w:val="20"/>
          <w:szCs w:val="20"/>
          <w:color w:val="auto"/>
        </w:rPr>
        <w:t>Our North America segment has a depth of expertise in helping organizations solve problems that require changes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human behavior, including leadership, productivity, execution, trust, and sales performance. We have a variety of principle-based offerings that help build winning and profitable cultures. This segment includes our sales personnel and operations that serve the United States and Canada.</w:t>
      </w:r>
    </w:p>
    <w:p>
      <w:pPr>
        <w:spacing w:after="0" w:line="162" w:lineRule="exact"/>
        <w:rPr>
          <w:rFonts w:ascii="Times New Roman" w:cs="Times New Roman" w:eastAsia="Times New Roman" w:hAnsi="Times New Roman"/>
          <w:sz w:val="20"/>
          <w:szCs w:val="20"/>
          <w:color w:val="auto"/>
        </w:rPr>
      </w:pPr>
    </w:p>
    <w:p>
      <w:pPr>
        <w:ind w:left="760" w:right="80" w:hanging="378"/>
        <w:spacing w:after="0" w:line="246"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International </w:t>
      </w:r>
      <w:r>
        <w:rPr>
          <w:rFonts w:ascii="Times New Roman" w:cs="Times New Roman" w:eastAsia="Times New Roman" w:hAnsi="Times New Roman"/>
          <w:sz w:val="20"/>
          <w:szCs w:val="20"/>
          <w:color w:val="auto"/>
        </w:rPr>
        <w:t>– Our International segment includes the operations of our international direct offices and international licensees.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international direct offices provide the same offerings and content in countries outside of North America, which includes Australia, Austria, China, France, Germany, Ireland, Japan, New Zealand, Switzerland, and the United Kingdom. The independently owned international licensees provide our offerings and services in countries where we do not have a directly-owned office. These licensee partners allow us to expand the reach of our services to large multinational organizations as well as smaller organizations in their countries.</w:t>
      </w:r>
    </w:p>
    <w:p>
      <w:pPr>
        <w:spacing w:after="0" w:line="165" w:lineRule="exact"/>
        <w:rPr>
          <w:rFonts w:ascii="Times New Roman" w:cs="Times New Roman" w:eastAsia="Times New Roman" w:hAnsi="Times New Roman"/>
          <w:sz w:val="20"/>
          <w:szCs w:val="20"/>
          <w:color w:val="auto"/>
        </w:rPr>
      </w:pPr>
    </w:p>
    <w:p>
      <w:pPr>
        <w:ind w:left="760" w:right="300" w:hanging="378"/>
        <w:spacing w:after="0" w:line="247"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Education Practice – </w:t>
      </w:r>
      <w:r>
        <w:rPr>
          <w:rFonts w:ascii="Times New Roman" w:cs="Times New Roman" w:eastAsia="Times New Roman" w:hAnsi="Times New Roman"/>
          <w:sz w:val="20"/>
          <w:szCs w:val="20"/>
          <w:color w:val="auto"/>
        </w:rPr>
        <w:t>Centered around the principles found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the Education practice is dedicated to helping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educational institutions build a culture that will produce great results. We believe these results are manifested by increases in student performance, improved school culture, decreased disciplinary issues, and increased teacher engagement and parental involvement. This segment includes our domestic and international Education practice operations, which are focused on sales to educational institutions such as elementary schools, middle schools, high schools, and colleges and universities.</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Our reportable segments reflect the structure of the Company’s internal organization and the financial information the CODM regularly reviews to assess Company performance and allocate resources. The CODM reviews the performance of each segment using internal reports which provide variance analysis of actual results by segment compared to budget, forecast, and the prior year. The primary measurement tool used in segment performance analysis is Adjusted EBITDA, which may not be calculated as similarly titled amounts disclosed by other companies. The prior period segment information has been recast to conform with the new reporting segment presentation described above.</w:t>
      </w:r>
    </w:p>
    <w:p>
      <w:pPr>
        <w:spacing w:after="0" w:line="1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operations are not capital intensive and we do not own any manufacturing facilities or equipment. Accordingly, we do not allocate assets to the reportable segments for analysis purposes. Interest expense and interest income are primarily generated at the corporate level and are not allocated. Income taxes are likewise calculated and paid on a corporate level (except for entities that operate in foreign jurisdictions) and are not allocated for analysis purposes.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Other segment items in the following tables consist primarily of other normal operating expenses such as computer software subscription expense, advertising and promotion costs, travel and entertainment expenses, and necessary overhead costs such as legal and rent and utilities expense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Quarter Ended</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North</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Education</w:t>
            </w:r>
          </w:p>
        </w:tc>
        <w:tc>
          <w:tcPr>
            <w:tcW w:w="4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28, 2026</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America</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Division</w:t>
            </w: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32,484</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9,154</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17,500</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59,138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5,329</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6,723</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Associate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18,314</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4,904</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8,612</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Segment Adjusted EBITDA</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5,921</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Less:</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3,769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exit costs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license obligation restructure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(1,999)</w:t>
            </w: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(2,062)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Reconciliation of revenue: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Segment revenues</w:t>
            </w: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59,138</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Other revenues</w:t>
            </w:r>
            <w:r>
              <w:rPr>
                <w:rFonts w:ascii="Times New Roman" w:cs="Times New Roman" w:eastAsia="Times New Roman" w:hAnsi="Times New Roman"/>
                <w:sz w:val="17"/>
                <w:szCs w:val="17"/>
                <w:color w:val="auto"/>
                <w:vertAlign w:val="superscript"/>
              </w:rPr>
              <w:t>(2)</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2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Consolidated revenue</w:t>
            </w: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59,647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Quarter Ended</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North</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Education</w:t>
            </w:r>
          </w:p>
        </w:tc>
        <w:tc>
          <w:tcPr>
            <w:tcW w:w="4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28, 2025</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America</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Division</w:t>
            </w: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34,520</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9,031</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15,065</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58,616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5,546</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5,734</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Associate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20,499</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4,896</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8,092</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Segment Adjusted EBITDA</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4,843</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483</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(313)</w:t>
            </w: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Less:</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3,949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exit costs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(1,455)</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(1,348)</w:t>
            </w:r>
          </w:p>
        </w:tc>
        <w:tc>
          <w:tcPr>
            <w:tcW w:w="1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Reconciliation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revenues</w:t>
            </w: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58,616</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Other revenues</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996</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Consolidated revenue</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59,612</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-3565525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-3154045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-2767965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Two Quarters Ended</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North</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Education</w:t>
            </w:r>
          </w:p>
        </w:tc>
        <w:tc>
          <w:tcPr>
            <w:tcW w:w="4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28, 2026</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America</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Division</w:t>
            </w: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68,739</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20,359</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33,593</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122,691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12,029</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4,613</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12,910</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Associate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39,330</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9,828</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17,345</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6,190</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3,857</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Segment Adjusted EBITDA</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11,190</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3,460</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(519)</w:t>
            </w: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14,131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Less:</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7,348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exit costs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license obligation restructure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(5,650)</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(5,693)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Reconciliation of revenue: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Segment revenues</w:t>
            </w:r>
          </w:p>
        </w:tc>
        <w:tc>
          <w:tcPr>
            <w:tcW w:w="6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122,691</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3"/>
                <w:szCs w:val="13"/>
                <w:color w:val="auto"/>
              </w:rPr>
              <w:t>Other revenues</w:t>
            </w:r>
            <w:r>
              <w:rPr>
                <w:rFonts w:ascii="Times New Roman" w:cs="Times New Roman" w:eastAsia="Times New Roman" w:hAnsi="Times New Roman"/>
                <w:sz w:val="17"/>
                <w:szCs w:val="17"/>
                <w:color w:val="auto"/>
                <w:vertAlign w:val="superscript"/>
              </w:rPr>
              <w:t>(2)</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w:t>
            </w:r>
          </w:p>
        </w:tc>
        <w:tc>
          <w:tcPr>
            <w:tcW w:w="2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Consolidated revenue</w:t>
            </w:r>
          </w:p>
        </w:tc>
        <w:tc>
          <w:tcPr>
            <w:tcW w:w="200" w:type="dxa"/>
            <w:vAlign w:val="bottom"/>
          </w:tcPr>
          <w:p>
            <w:pPr>
              <w:spacing w:after="0"/>
              <w:rPr>
                <w:sz w:val="12"/>
                <w:szCs w:val="12"/>
                <w:color w:val="auto"/>
              </w:rPr>
            </w:pPr>
          </w:p>
        </w:tc>
        <w:tc>
          <w:tcPr>
            <w:tcW w:w="46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123,692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Two Quarters Ended</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North</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Education</w:t>
            </w:r>
          </w:p>
        </w:tc>
        <w:tc>
          <w:tcPr>
            <w:tcW w:w="4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Segment</w:t>
            </w: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February 28, 2025</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rPr>
              <w:t>America</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Division</w:t>
            </w:r>
          </w:p>
        </w:tc>
        <w:tc>
          <w:tcPr>
            <w:tcW w:w="3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74,657</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20,473</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31,529</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126,659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4,437</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11,788</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Associate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41,388</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10,268</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16,566</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segment items</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6,820</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3,865</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3,222</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13,907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Segment Adjusted EBITDA</w:t>
            </w:r>
          </w:p>
        </w:tc>
        <w:tc>
          <w:tcPr>
            <w:tcW w:w="660" w:type="dxa"/>
            <w:vAlign w:val="bottom"/>
            <w:gridSpan w:val="2"/>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13,587</w:t>
            </w:r>
          </w:p>
        </w:tc>
        <w:tc>
          <w:tcPr>
            <w:tcW w:w="70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w:t>
            </w:r>
          </w:p>
        </w:tc>
        <w:tc>
          <w:tcPr>
            <w:tcW w:w="74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15,443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Less:</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Unallocated corporate expenses</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costs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Building exit costs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2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Reconciliation of revenue: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Segment revenues</w:t>
            </w:r>
          </w:p>
        </w:tc>
        <w:tc>
          <w:tcPr>
            <w:tcW w:w="66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126,659</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Other revenues</w:t>
            </w:r>
            <w:r>
              <w:rPr>
                <w:rFonts w:ascii="Times New Roman" w:cs="Times New Roman" w:eastAsia="Times New Roman" w:hAnsi="Times New Roman"/>
                <w:sz w:val="17"/>
                <w:szCs w:val="17"/>
                <w:color w:val="auto"/>
                <w:vertAlign w:val="superscript"/>
              </w:rPr>
              <w:t>(2)</w:t>
            </w:r>
          </w:p>
        </w:tc>
        <w:tc>
          <w:tcPr>
            <w:tcW w:w="2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Consolidated revenue</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128,698</w:t>
            </w:r>
          </w:p>
        </w:tc>
        <w:tc>
          <w:tcPr>
            <w:tcW w:w="2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-4319905</wp:posOffset>
            </wp:positionV>
            <wp:extent cx="713232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-3659505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-3265170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-3248660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-2862580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8" w:lineRule="exact"/>
        <w:rPr>
          <w:sz w:val="20"/>
          <w:szCs w:val="20"/>
          <w:color w:val="auto"/>
        </w:rPr>
      </w:pPr>
    </w:p>
    <w:p>
      <w:pPr>
        <w:ind w:left="760" w:hanging="365"/>
        <w:spacing w:after="0"/>
        <w:tabs>
          <w:tab w:leader="none" w:pos="76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Unallocated corporate expenses primarily consist of administrative overhead expenses.</w:t>
      </w:r>
    </w:p>
    <w:p>
      <w:pPr>
        <w:spacing w:after="0" w:line="6" w:lineRule="exact"/>
        <w:rPr>
          <w:rFonts w:ascii="Times New Roman" w:cs="Times New Roman" w:eastAsia="Times New Roman" w:hAnsi="Times New Roman"/>
          <w:sz w:val="27"/>
          <w:szCs w:val="27"/>
          <w:color w:val="auto"/>
          <w:vertAlign w:val="superscript"/>
        </w:rPr>
      </w:pPr>
    </w:p>
    <w:p>
      <w:pPr>
        <w:ind w:left="760" w:right="560" w:hanging="365"/>
        <w:spacing w:after="0" w:line="206" w:lineRule="auto"/>
        <w:tabs>
          <w:tab w:leader="none" w:pos="758"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Other revenues consist of shipping and handling revenue, leasing revenue (in fiscal 2025), and royalty revenue from Franklin Planner Corp.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Disaggregated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revenue disaggregated by geographic region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Quarter Ended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Two Quarters Ended</w:t>
            </w:r>
          </w:p>
        </w:tc>
      </w:tr>
      <w:tr>
        <w:trPr>
          <w:trHeight w:val="185"/>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February 28,</w:t>
            </w:r>
          </w:p>
        </w:tc>
      </w:tr>
      <w:tr>
        <w:trPr>
          <w:trHeight w:val="213"/>
        </w:trPr>
        <w:tc>
          <w:tcPr>
            <w:tcW w:w="5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2025</w:t>
            </w:r>
          </w:p>
        </w:tc>
      </w:tr>
      <w:tr>
        <w:trPr>
          <w:trHeight w:val="19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Americas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50,542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50,728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103,730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108,458</w:t>
            </w: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16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11,600</w:t>
            </w:r>
          </w:p>
        </w:tc>
      </w:tr>
      <w:tr>
        <w:trPr>
          <w:trHeight w:val="203"/>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Europe/Middle East/Africa</w:t>
            </w: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4,180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3,847</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8,640</w:t>
            </w:r>
          </w:p>
        </w:tc>
      </w:tr>
      <w:tr>
        <w:trPr>
          <w:trHeight w:val="196"/>
        </w:trPr>
        <w:tc>
          <w:tcPr>
            <w:tcW w:w="56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59,612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123,692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128,698</w:t>
            </w: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-162560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The following table presents our revenue disaggregated by our significant revenue generating activities. Sales of services and products include training and consulting services and related products such as training manuals and contractually committed materials and services sold in connection with the All Access Pass. Subscription revenue includes sales of our subscription services such as the All Access Pass and </w:t>
      </w:r>
      <w:r>
        <w:rPr>
          <w:rFonts w:ascii="Times New Roman" w:cs="Times New Roman" w:eastAsia="Times New Roman" w:hAnsi="Times New Roman"/>
          <w:sz w:val="20"/>
          <w:szCs w:val="20"/>
          <w:i w:val="1"/>
          <w:iCs w:val="1"/>
          <w:color w:val="auto"/>
        </w:rPr>
        <w:t xml:space="preserve">Leader in Me </w:t>
      </w:r>
      <w:r>
        <w:rPr>
          <w:rFonts w:ascii="Times New Roman" w:cs="Times New Roman" w:eastAsia="Times New Roman" w:hAnsi="Times New Roman"/>
          <w:sz w:val="20"/>
          <w:szCs w:val="20"/>
          <w:color w:val="auto"/>
        </w:rPr>
        <w:t>membership, including Education training and coaching days which are contracted with the</w:t>
      </w:r>
      <w:r>
        <w:rPr>
          <w:rFonts w:ascii="Times New Roman" w:cs="Times New Roman" w:eastAsia="Times New Roman" w:hAnsi="Times New Roman"/>
          <w:sz w:val="20"/>
          <w:szCs w:val="20"/>
          <w:i w:val="1"/>
          <w:iCs w:val="1"/>
          <w:color w:val="auto"/>
        </w:rPr>
        <w:t xml:space="preserve"> Leader in Me </w:t>
      </w:r>
      <w:r>
        <w:rPr>
          <w:rFonts w:ascii="Times New Roman" w:cs="Times New Roman" w:eastAsia="Times New Roman" w:hAnsi="Times New Roman"/>
          <w:sz w:val="20"/>
          <w:szCs w:val="20"/>
          <w:color w:val="auto"/>
        </w:rPr>
        <w:t>membership.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 royalty revenue from our international licensees and from other sources such as book publishing arrangements. Corporate royalties are amounts received from Franklin Planner Co. pursuant to a licensing arrangement. Leases and Other revenue is primarily comprised of fiscal 2025 lease revenues from sub-leases for space at our previous corporate headquarters campus and from shipping and handling revenues (in thousands)</w:t>
      </w:r>
      <w:r>
        <w:rPr>
          <w:rFonts w:ascii="Times New Roman" w:cs="Times New Roman" w:eastAsia="Times New Roman" w:hAnsi="Times New Roman"/>
          <w:sz w:val="17"/>
          <w:szCs w:val="17"/>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Services and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Leases and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9"/>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Quarter Ended February 28, 2026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Products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Subscription</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Royalties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Consolidated</w:t>
            </w: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Division: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48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10,795</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21,528</w:t>
            </w:r>
          </w:p>
        </w:tc>
        <w:tc>
          <w:tcPr>
            <w:tcW w:w="3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32,484</w:t>
            </w:r>
          </w:p>
        </w:tc>
      </w:tr>
      <w:tr>
        <w:trPr>
          <w:trHeight w:val="148"/>
        </w:trPr>
        <w:tc>
          <w:tcPr>
            <w:tcW w:w="482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4,348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2,621</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2,185</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9,154</w:t>
            </w: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15,143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24,149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2,346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41,638</w:t>
            </w: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Education practice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12,022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17,500</w:t>
            </w: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509</w:t>
            </w:r>
          </w:p>
        </w:tc>
      </w:tr>
      <w:tr>
        <w:trPr>
          <w:trHeight w:val="182"/>
        </w:trPr>
        <w:tc>
          <w:tcPr>
            <w:tcW w:w="48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19,232</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36,171</w:t>
            </w:r>
          </w:p>
        </w:tc>
        <w:tc>
          <w:tcPr>
            <w:tcW w:w="3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4,033</w:t>
            </w:r>
          </w:p>
        </w:tc>
        <w:tc>
          <w:tcPr>
            <w:tcW w:w="34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59,647</w:t>
            </w:r>
          </w:p>
        </w:tc>
      </w:tr>
      <w:tr>
        <w:trPr>
          <w:trHeight w:val="399"/>
        </w:trPr>
        <w:tc>
          <w:tcPr>
            <w:tcW w:w="482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Quarter Ended February 28, 2025</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Division: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8"/>
        </w:trPr>
        <w:tc>
          <w:tcPr>
            <w:tcW w:w="48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11,953</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22,282</w:t>
            </w:r>
          </w:p>
        </w:tc>
        <w:tc>
          <w:tcPr>
            <w:tcW w:w="3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34,520</w:t>
            </w:r>
          </w:p>
        </w:tc>
      </w:tr>
      <w:tr>
        <w:trPr>
          <w:trHeight w:val="149"/>
        </w:trPr>
        <w:tc>
          <w:tcPr>
            <w:tcW w:w="482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3,773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2,796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2,462</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9,031</w:t>
            </w: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15,726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25,078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2,747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43,551</w:t>
            </w: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Education practice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10,090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1,370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15,065</w:t>
            </w:r>
          </w:p>
        </w:tc>
      </w:tr>
      <w:tr>
        <w:trPr>
          <w:trHeight w:val="148"/>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996</w:t>
            </w:r>
          </w:p>
        </w:tc>
      </w:tr>
      <w:tr>
        <w:trPr>
          <w:trHeight w:val="182"/>
        </w:trPr>
        <w:tc>
          <w:tcPr>
            <w:tcW w:w="48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19,331</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35,168</w:t>
            </w:r>
          </w:p>
        </w:tc>
        <w:tc>
          <w:tcPr>
            <w:tcW w:w="3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4,155</w:t>
            </w:r>
          </w:p>
        </w:tc>
        <w:tc>
          <w:tcPr>
            <w:tcW w:w="34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958</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59,612</w:t>
            </w:r>
          </w:p>
        </w:tc>
      </w:tr>
      <w:tr>
        <w:trPr>
          <w:trHeight w:val="399"/>
        </w:trPr>
        <w:tc>
          <w:tcPr>
            <w:tcW w:w="482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Two Quarters Ended February 28, 2026</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Division: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9"/>
        </w:trPr>
        <w:tc>
          <w:tcPr>
            <w:tcW w:w="48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24,447</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43,813</w:t>
            </w:r>
          </w:p>
        </w:tc>
        <w:tc>
          <w:tcPr>
            <w:tcW w:w="3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68,739</w:t>
            </w:r>
          </w:p>
        </w:tc>
      </w:tr>
      <w:tr>
        <w:trPr>
          <w:trHeight w:val="148"/>
        </w:trPr>
        <w:tc>
          <w:tcPr>
            <w:tcW w:w="482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9,660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5,116</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20,359</w:t>
            </w: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34,107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49,396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5,595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89,098</w:t>
            </w:r>
          </w:p>
        </w:tc>
      </w:tr>
      <w:tr>
        <w:trPr>
          <w:trHeight w:val="148"/>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Education practice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23,794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33,593</w:t>
            </w: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1,001</w:t>
            </w:r>
          </w:p>
        </w:tc>
      </w:tr>
      <w:tr>
        <w:trPr>
          <w:trHeight w:val="182"/>
        </w:trPr>
        <w:tc>
          <w:tcPr>
            <w:tcW w:w="482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2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41,377</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73,190</w:t>
            </w:r>
          </w:p>
        </w:tc>
        <w:tc>
          <w:tcPr>
            <w:tcW w:w="3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8,719</w:t>
            </w:r>
          </w:p>
        </w:tc>
        <w:tc>
          <w:tcPr>
            <w:tcW w:w="340" w:type="dxa"/>
            <w:vAlign w:val="bottom"/>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406</w:t>
            </w:r>
          </w:p>
        </w:tc>
        <w:tc>
          <w:tcPr>
            <w:tcW w:w="3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123,692</w:t>
            </w:r>
          </w:p>
        </w:tc>
      </w:tr>
      <w:tr>
        <w:trPr>
          <w:trHeight w:val="399"/>
        </w:trPr>
        <w:tc>
          <w:tcPr>
            <w:tcW w:w="4820" w:type="dxa"/>
            <w:vAlign w:val="bottom"/>
            <w:tcBorders>
              <w:top w:val="single" w:sz="8" w:color="CCEEFF"/>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Two Quarters Ended February 28, 2025</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42"/>
        </w:trPr>
        <w:tc>
          <w:tcPr>
            <w:tcW w:w="4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Division: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8"/>
        </w:trPr>
        <w:tc>
          <w:tcPr>
            <w:tcW w:w="48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28,219</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45,819</w:t>
            </w:r>
          </w:p>
        </w:tc>
        <w:tc>
          <w:tcPr>
            <w:tcW w:w="3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3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74,657</w:t>
            </w:r>
          </w:p>
        </w:tc>
      </w:tr>
      <w:tr>
        <w:trPr>
          <w:trHeight w:val="148"/>
        </w:trPr>
        <w:tc>
          <w:tcPr>
            <w:tcW w:w="4820" w:type="dxa"/>
            <w:vAlign w:val="bottom"/>
            <w:tcBorders>
              <w:bottom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9,461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5,646</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20,473</w:t>
            </w: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37,680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51,465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5,985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95,130</w:t>
            </w:r>
          </w:p>
        </w:tc>
      </w:tr>
      <w:tr>
        <w:trPr>
          <w:trHeight w:val="149"/>
        </w:trPr>
        <w:tc>
          <w:tcPr>
            <w:tcW w:w="4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Education practice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20,560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31,529</w:t>
            </w:r>
          </w:p>
        </w:tc>
      </w:tr>
      <w:tr>
        <w:trPr>
          <w:trHeight w:val="149"/>
        </w:trPr>
        <w:tc>
          <w:tcPr>
            <w:tcW w:w="4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2,039</w:t>
            </w:r>
          </w:p>
        </w:tc>
      </w:tr>
      <w:tr>
        <w:trPr>
          <w:trHeight w:val="182"/>
        </w:trPr>
        <w:tc>
          <w:tcPr>
            <w:tcW w:w="4820" w:type="dxa"/>
            <w:vAlign w:val="bottom"/>
            <w:tcBorders>
              <w:bottom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Consolidated</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46,032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72,025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8,953</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1,688</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-3350895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-3350895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-3350895</wp:posOffset>
            </wp:positionV>
            <wp:extent cx="946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-3350895</wp:posOffset>
            </wp:positionV>
            <wp:extent cx="93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-2956560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-2939415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-2956560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-2939415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-2956560</wp:posOffset>
            </wp:positionV>
            <wp:extent cx="946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-2939415</wp:posOffset>
            </wp:positionV>
            <wp:extent cx="94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-2956560</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-2939415</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-2373630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-2373630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-2373630</wp:posOffset>
            </wp:positionV>
            <wp:extent cx="94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-2373630</wp:posOffset>
            </wp:positionV>
            <wp:extent cx="939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-1979295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-1962150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-1979295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-1962150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-1979295</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-1962150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-1979295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-1962150</wp:posOffset>
            </wp:positionV>
            <wp:extent cx="939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-1396365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-1396365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-1396365</wp:posOffset>
            </wp:positionV>
            <wp:extent cx="946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-1396365</wp:posOffset>
            </wp:positionV>
            <wp:extent cx="93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-1002665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-985520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-1002665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-985520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-1002665</wp:posOffset>
            </wp:positionV>
            <wp:extent cx="946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-985520</wp:posOffset>
            </wp:positionV>
            <wp:extent cx="94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-1002665</wp:posOffset>
            </wp:positionV>
            <wp:extent cx="93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-985520</wp:posOffset>
            </wp:positionV>
            <wp:extent cx="93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-419735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-419735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-419735</wp:posOffset>
            </wp:positionV>
            <wp:extent cx="946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-419735</wp:posOffset>
            </wp:positionV>
            <wp:extent cx="93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94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93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MANAGEMENT’S DISCUSSION AND ANALYSIS OF FINANCIAL CONDITION AND RESULTS OF OPERATIONS</w:t>
      </w:r>
    </w:p>
    <w:p>
      <w:pPr>
        <w:spacing w:after="0" w:line="20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(Management’s Discussion and Analysis) contains forward-looking statements within the meaning of the Private Securities Litigation Reform Act of 1995. These statements are based upon management’s current expectations and are subject to various uncertainties and changes in circumstances. Important factors that could cause actual results to differ materially from those described in forward-looking statements are set forth below under the heading “Safe Harbor Statement Under the Private Securities Litigation Reform Act of 1995.”</w:t>
      </w:r>
    </w:p>
    <w:p>
      <w:pPr>
        <w:spacing w:after="0" w:line="15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We suggest that the following discussion and analysis be read in conjunction with the Consolidated Financial Statements and Management’s Discussion and Analysis of Financial Condition and Results of Operations included in our Annual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This Management’s Discussion and Analysis includes the concept of Adjusted EBITDA, which is a non-GAAP financial measure. We define Adjusted EBITDA as net income or loss excluding the impact of interest, income taxes, intangible asset amortization, depreciation, stock-based compensation expense, and certain other items such as restructuring costs. We reference this non-GAAP measure in our decision making because it provides supplemental information that facilitates consistent internal comparisons to the operating performance of prior periods and we believe it provides investors with greater transparency to evaluate our operational activities and financial results. For a reconciliation of our reportable segment Adjusted EBITDA to income or loss before income taxes, a related GAAP measure, refer to Note 7, </w:t>
      </w:r>
      <w:r>
        <w:rPr>
          <w:rFonts w:ascii="Times New Roman" w:cs="Times New Roman" w:eastAsia="Times New Roman" w:hAnsi="Times New Roman"/>
          <w:sz w:val="20"/>
          <w:szCs w:val="20"/>
          <w:i w:val="1"/>
          <w:iCs w:val="1"/>
          <w:color w:val="auto"/>
        </w:rPr>
        <w:t xml:space="preserve">Segment Information, </w:t>
      </w:r>
      <w:r>
        <w:rPr>
          <w:rFonts w:ascii="Times New Roman" w:cs="Times New Roman" w:eastAsia="Times New Roman" w:hAnsi="Times New Roman"/>
          <w:sz w:val="20"/>
          <w:szCs w:val="20"/>
          <w:color w:val="auto"/>
        </w:rPr>
        <w:t>to our unaudited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0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Franklin Covey Co., a global leadership and organizational performance company, gives strategy the human edge. Our mission is to “enable greatness in people and organizations everywhere,” and our worldwide resources are organized to help clients achieve breakthrough results and transform how they execute strategy at scale. We believe that our content and services create the connection between capabilities and results. Our business is currently structured around two divisions, the Enterprise Division and the Education Division, which are driven to develop high-performing leaders at all levels of the organization and align people around purpose and priorities. The Enterprise Division consists of our North America and International segments and is focused on selling our offerings to corporations, governments, not-for-profits, and other related organizations. Our Education Division is centered around the principles found in the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xml:space="preserve"> and is dedicated to helping educational institutions build cultures that will produce great results, including increased student performance, improved school culture, and increased parental and teacher involvement.</w:t>
      </w:r>
    </w:p>
    <w:p>
      <w:pPr>
        <w:spacing w:after="0" w:line="15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For Franklin Covey, fiscal 2025 was a year of transition and transformation as we initiated a new go-to-market and sales strategy in North America. In addition, our fiscal 2025 results of operations were adversely impacted by various macroeconomic factors, including reduced U.S. federal government spending and geopolitical tensions that produced instability in certain regions of the world. This resulted in a reduction of invoiced amounts and net revenue for fiscal 2025, which will continue to impact fiscal 2026 as we recognize a lower base of previously deferred revenue. Despite these headwinds, we have retained the vast majority of our client base and now with the bulk of our revenue-generating transformation investments nearly completed, we believe these efforts are beginning to produce growth in invoiced amounts the first half of fiscal 2026. We view fiscal 2026 to be a year of execution and a return to growth, and believe fiscal 2027 will continue the momentum and provide accelerating and compounding growth and cash flow. We believe the transformative investments made in our Enterprise North America go-to-market strategy plus our continued investments in content and technology position us for meaningful growth in the future.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During the second quarter of fiscal 2026, we continued to be encouraged by strong growth in Enterprise North America invoiced amounts, which also saw growth in the first quarter. We believe invoiced amounts are a primary lead metric that demonstrates the positive momentum building from our go-to-market investments and which we expect to continue in the second half of fiscal 2026. In the second quarter of fiscal 2026, we were able to translate this operational momentum into improved cash flows and increased Adjusted EBITDA compared with the prior year.</w:t>
      </w:r>
    </w:p>
    <w:p>
      <w:pPr>
        <w:spacing w:after="0" w:line="1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Our consolidated revenue for the quarter ended February 28, 2026, was essentially flat compared with the second quarter of fiscal 2025 at $59.6 million, and reflected the impact of fiscal 2025 conditions as previously described. Foreign exchange rates had a $0.7 million favorable impact on our consolidated revenues and a $0.2 million favorable impact on operating results and Adjusted EBITDA in the second quarter of fiscal 2026. The Company’s revenue performance for the quarter ended February 28, 2026, included the following key metrics:</w:t>
      </w:r>
    </w:p>
    <w:p>
      <w:pPr>
        <w:spacing w:after="0" w:line="152" w:lineRule="exact"/>
        <w:rPr>
          <w:sz w:val="20"/>
          <w:szCs w:val="20"/>
          <w:color w:val="auto"/>
        </w:rPr>
      </w:pPr>
    </w:p>
    <w:p>
      <w:pPr>
        <w:ind w:left="760" w:right="120" w:hanging="378"/>
        <w:spacing w:after="0" w:line="243"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Division revenues for the second quarter of fiscal 2026 totaled $41.6 million compared with $43.6 million in the second quarter of the prior year. Enterprise Division revenue performance was impacted by a $2.0 million decrease in North America segment revenues and a $0.1 million increase in International segment revenues. Revenue performance in our North America segment was adversely impacted by canceled government contracts, ongoing geopolitical tensions, and other macroeconomic difficulties, which hampered subscription revenue growth in fiscal 2025 and which now flow through as we recognize previously deferred revenue. Despite these difficult conditions, we were encouraged by continued growth in invoiced amounts in the North America segment in both the first and second quarters of fiscal 2026, which we believe will translate to increased reported revenue in future quarters.</w:t>
      </w:r>
    </w:p>
    <w:p>
      <w:pPr>
        <w:spacing w:after="0" w:line="175" w:lineRule="exact"/>
        <w:rPr>
          <w:rFonts w:ascii="Times New Roman" w:cs="Times New Roman" w:eastAsia="Times New Roman" w:hAnsi="Times New Roman"/>
          <w:sz w:val="20"/>
          <w:szCs w:val="20"/>
          <w:color w:val="auto"/>
        </w:rPr>
      </w:pPr>
    </w:p>
    <w:p>
      <w:pPr>
        <w:ind w:left="760" w:right="80" w:hanging="378"/>
        <w:spacing w:after="0" w:line="263" w:lineRule="auto"/>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Education Division revenues in the second quarter of fiscal 2026 increased $2.4 million, or 16%, to $17.5 million compared with the second quarter of fiscal 2025. The increase was primarily due to increased subscription and subscription-related revenue, increased classroom and training materials sales, and an additional symposium event. Education Division subscription-related revenue increased over the prior year primarily due to the delivery of over 300 more training and coaching days than the prior year. The strong growth in delivery contributed to 16% growth in Education Division subscription and subscription services revenue.</w:t>
      </w:r>
    </w:p>
    <w:p>
      <w:pPr>
        <w:spacing w:after="0" w:line="139" w:lineRule="exact"/>
        <w:rPr>
          <w:rFonts w:ascii="Times New Roman" w:cs="Times New Roman" w:eastAsia="Times New Roman" w:hAnsi="Times New Roman"/>
          <w:sz w:val="19"/>
          <w:szCs w:val="19"/>
          <w:color w:val="auto"/>
        </w:rPr>
      </w:pPr>
    </w:p>
    <w:p>
      <w:pPr>
        <w:ind w:left="760" w:right="400" w:hanging="378"/>
        <w:spacing w:after="0" w:line="24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subscription and subscription services revenues for the second quarter of fiscal 2026 increased to $50.9 million compared with $49.5 million in the second quarter of fiscal 2025. For the quarter ended February 28, 2026, subscription and contractually committed invoiced amounts increased $5.4 million, or 16%, to $39.3 million compared with $33.9 million in the same period of fiscal 2025.</w:t>
      </w:r>
    </w:p>
    <w:p>
      <w:pPr>
        <w:spacing w:after="0" w:line="166" w:lineRule="exact"/>
        <w:rPr>
          <w:rFonts w:ascii="Times New Roman" w:cs="Times New Roman" w:eastAsia="Times New Roman" w:hAnsi="Times New Roman"/>
          <w:sz w:val="20"/>
          <w:szCs w:val="20"/>
          <w:color w:val="auto"/>
        </w:rPr>
      </w:pPr>
    </w:p>
    <w:p>
      <w:pPr>
        <w:ind w:left="760" w:right="40" w:hanging="378"/>
        <w:spacing w:after="0" w:line="26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deferred revenue on February 28, 2026, increased $7.1 million, or 7%, to $101.5 million compared with $94.4 million on February 28, 2025.</w:t>
      </w:r>
    </w:p>
    <w:p>
      <w:pPr>
        <w:spacing w:after="0" w:line="145" w:lineRule="exact"/>
        <w:rPr>
          <w:rFonts w:ascii="Times New Roman" w:cs="Times New Roman" w:eastAsia="Times New Roman" w:hAnsi="Times New Roman"/>
          <w:sz w:val="20"/>
          <w:szCs w:val="20"/>
          <w:color w:val="auto"/>
        </w:rPr>
      </w:pPr>
    </w:p>
    <w:p>
      <w:pPr>
        <w:jc w:val="both"/>
        <w:ind w:left="760" w:right="180" w:hanging="378"/>
        <w:spacing w:after="0" w:line="254"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February 28, 2026, 59% of our North America AAP contracts are for at least two years, compared with 55% at February 28, 2025, and the percentage of contracted amounts represented by multi-year contracts was 62% compared with 61% at February 28, 2025.</w:t>
      </w:r>
    </w:p>
    <w:p>
      <w:pPr>
        <w:spacing w:after="0" w:line="147" w:lineRule="exact"/>
        <w:rPr>
          <w:rFonts w:ascii="Times New Roman" w:cs="Times New Roman" w:eastAsia="Times New Roman" w:hAnsi="Times New Roman"/>
          <w:sz w:val="20"/>
          <w:szCs w:val="20"/>
          <w:color w:val="auto"/>
        </w:rPr>
      </w:pPr>
    </w:p>
    <w:p>
      <w:pPr>
        <w:ind w:left="760" w:right="340" w:hanging="378"/>
        <w:spacing w:after="0" w:line="295" w:lineRule="auto"/>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Unbilled deferred revenue on February 28, 2026, increased to $64.9 million compared with $64.5 million on February 28, 2025. Unbilled deferred revenue represents business that is contracted, but unbilled and therefore excluded from our balance sheet.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other unaudited consolidated financial information from the second quarter of fiscal 2026, which ended 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28, 2026:</w:t>
      </w:r>
    </w:p>
    <w:p>
      <w:pPr>
        <w:spacing w:after="0" w:line="176" w:lineRule="exact"/>
        <w:rPr>
          <w:sz w:val="20"/>
          <w:szCs w:val="20"/>
          <w:color w:val="auto"/>
        </w:rPr>
      </w:pPr>
    </w:p>
    <w:p>
      <w:pPr>
        <w:ind w:left="760" w:right="80" w:hanging="378"/>
        <w:spacing w:after="0" w:line="246" w:lineRule="auto"/>
        <w:tabs>
          <w:tab w:leader="none" w:pos="7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Cost of Revenue/Gross Profit </w:t>
      </w:r>
      <w:r>
        <w:rPr>
          <w:rFonts w:ascii="Times New Roman" w:cs="Times New Roman" w:eastAsia="Times New Roman" w:hAnsi="Times New Roman"/>
          <w:sz w:val="20"/>
          <w:szCs w:val="20"/>
          <w:color w:val="auto"/>
        </w:rPr>
        <w:t>– For the quarter ended February 28, 2026, our cost of revenue totaled $14.4 million compared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$13.9 million in the prior year. Gross profit in the second quarter of fiscal 2026 was $45.3 million compared with $45.7 million in the prior year. The decrease in gross profit was primarily due to a slight decrease in our gross margin for the second quarter of fiscal 2026, which remained strong at 75.9% of revenue compared with 76.7% in the prior year. The decrease was primarily due to increased amortization of capitalized curriculum expense and a shift in the mix of services delivered and products sold during the quarter.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60" w:hanging="378"/>
        <w:spacing w:after="0" w:line="243"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Operating Expenses </w:t>
      </w:r>
      <w:r>
        <w:rPr>
          <w:rFonts w:ascii="Times New Roman" w:cs="Times New Roman" w:eastAsia="Times New Roman" w:hAnsi="Times New Roman"/>
          <w:sz w:val="20"/>
          <w:szCs w:val="20"/>
          <w:color w:val="auto"/>
        </w:rPr>
        <w:t>– Our operating expenses for the second quarter of fiscal 2026 totaled $47.3 million and increased $0.1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compared with the prior year. The increase was primarily due to a $1.5 million increase in restructuring charges, a $1.3 million increase in share-based compensation expense, and a $0.5 million increase in building exit costs which primarily consist of legal expenses. These increases were partially offset by decreased selling, general, and administrative (SG&amp;A) expenses driven by reduced associate costs and other cost reduction efforts. During the second quarter of fiscal 2026, we continued to restructure our business to reduce costs and streamline certain areas of our operations. We incurred $1.5 million of expense for this restructuring activity, which consisted primarily of severance and related costs. In an effort to retain the services of the former principal owner of Strive, which we purchased in a prior year, we agreed to pay the remaining unearned contingent consideration from the purchase of Strive, which was paid in shares of our common stock (Note 4). The additional contingent consideration totaled $1.4 million and was expensed in the second quarter of fiscal 2026.</w:t>
      </w:r>
    </w:p>
    <w:p>
      <w:pPr>
        <w:spacing w:after="0" w:line="155" w:lineRule="exact"/>
        <w:rPr>
          <w:rFonts w:ascii="Times New Roman" w:cs="Times New Roman" w:eastAsia="Times New Roman" w:hAnsi="Times New Roman"/>
          <w:sz w:val="20"/>
          <w:szCs w:val="20"/>
          <w:color w:val="auto"/>
        </w:rPr>
      </w:pPr>
    </w:p>
    <w:p>
      <w:pPr>
        <w:ind w:left="760" w:right="20" w:hanging="378"/>
        <w:spacing w:after="0" w:line="268" w:lineRule="auto"/>
        <w:tabs>
          <w:tab w:leader="none" w:pos="76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Income Taxes – </w:t>
      </w:r>
      <w:r>
        <w:rPr>
          <w:rFonts w:ascii="Times New Roman" w:cs="Times New Roman" w:eastAsia="Times New Roman" w:hAnsi="Times New Roman"/>
          <w:sz w:val="19"/>
          <w:szCs w:val="19"/>
          <w:color w:val="auto"/>
        </w:rPr>
        <w:t>Our income tax benefit for the quarter ended February 28, 2026, was $0.1 million on a pre-tax loss of $(2.1)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million, for an effective benefit rate of 3.9%. In the second quarter of fiscal 2025, our income tax benefit was $0.3 million on a pre-tax loss of $(1.3) million, for an effective benefit rate of 20.2%. The effective tax benefit rate for the second quarter of fiscal 2026 was lower than the effective tax benefit rate in the prior year primarily due to increased non-deductible stock based compensation.</w:t>
      </w:r>
    </w:p>
    <w:p>
      <w:pPr>
        <w:spacing w:after="0" w:line="144"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Net Income (Loss) and Adjusted EBITDA </w:t>
      </w:r>
      <w:r>
        <w:rPr>
          <w:rFonts w:ascii="Times New Roman" w:cs="Times New Roman" w:eastAsia="Times New Roman" w:hAnsi="Times New Roman"/>
          <w:sz w:val="20"/>
          <w:szCs w:val="20"/>
          <w:color w:val="auto"/>
        </w:rPr>
        <w:t>– For the second quarter of fiscal 2026, we realized a net loss of $(2.0) million, or</w:t>
      </w:r>
    </w:p>
    <w:p>
      <w:pPr>
        <w:spacing w:after="0" w:line="25" w:lineRule="exact"/>
        <w:rPr>
          <w:rFonts w:ascii="Times New Roman" w:cs="Times New Roman" w:eastAsia="Times New Roman" w:hAnsi="Times New Roman"/>
          <w:sz w:val="20"/>
          <w:szCs w:val="20"/>
          <w:color w:val="auto"/>
        </w:rPr>
      </w:pPr>
    </w:p>
    <w:p>
      <w:pPr>
        <w:ind w:left="760" w:right="20"/>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$(0.17) per share, compared with a net loss of $(1.1) million, or $(0.08) per share, in the second quarter of fiscal 2025, reflecting the factors previously discussed. Our Adjusted EBITDA for the quarter ended February 28, 2026, increased $2.0 million, or 99%, to $4.1 million compared with $2.1 million in the prior year. Foreign exchange rates had a $0.2 million favorable impact on our Adjusted EBITDA for the quarter ended February 28, 2026.</w:t>
      </w:r>
    </w:p>
    <w:p>
      <w:pPr>
        <w:spacing w:after="0" w:line="170" w:lineRule="exact"/>
        <w:rPr>
          <w:rFonts w:ascii="Times New Roman" w:cs="Times New Roman" w:eastAsia="Times New Roman" w:hAnsi="Times New Roman"/>
          <w:sz w:val="20"/>
          <w:szCs w:val="20"/>
          <w:color w:val="auto"/>
        </w:rPr>
      </w:pPr>
    </w:p>
    <w:p>
      <w:pPr>
        <w:ind w:left="760" w:right="200" w:hanging="378"/>
        <w:spacing w:after="0" w:line="250" w:lineRule="auto"/>
        <w:tabs>
          <w:tab w:leader="none" w:pos="7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Liquidity and Financial Position – </w:t>
      </w:r>
      <w:r>
        <w:rPr>
          <w:rFonts w:ascii="Times New Roman" w:cs="Times New Roman" w:eastAsia="Times New Roman" w:hAnsi="Times New Roman"/>
          <w:sz w:val="20"/>
          <w:szCs w:val="20"/>
          <w:color w:val="auto"/>
        </w:rPr>
        <w:t>Our liquidity and financial position remained strong throughout the first two quarters of fiscal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2026. At February 28, 2026, we had over $76 million of available liquidity which consisted of $13.7 million of cash and our full available $62.5 million line of credit even after using $28.1 million of cash to purchase shares of our common stock for treasury during the first two quarters of fiscal 2026.</w:t>
      </w:r>
    </w:p>
    <w:p>
      <w:pPr>
        <w:spacing w:after="0" w:line="153"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Further details regarding our results for the quarter ended February 28, 2026, are provided throughout the following Management’s Discussion and Analysis.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Quarter Ended February 28, 2026 Compared with the Quarter Ended February 28,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Enterprise Division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North America Segment</w:t>
      </w:r>
    </w:p>
    <w:p>
      <w:pPr>
        <w:spacing w:after="0" w:line="206" w:lineRule="exact"/>
        <w:rPr>
          <w:sz w:val="20"/>
          <w:szCs w:val="20"/>
          <w:color w:val="auto"/>
        </w:rPr>
      </w:pPr>
    </w:p>
    <w:p>
      <w:pPr>
        <w:ind w:right="860"/>
        <w:spacing w:after="0" w:line="269" w:lineRule="auto"/>
        <w:rPr>
          <w:sz w:val="20"/>
          <w:szCs w:val="20"/>
          <w:color w:val="auto"/>
        </w:rPr>
      </w:pPr>
      <w:r>
        <w:rPr>
          <w:rFonts w:ascii="Times New Roman" w:cs="Times New Roman" w:eastAsia="Times New Roman" w:hAnsi="Times New Roman"/>
          <w:sz w:val="20"/>
          <w:szCs w:val="20"/>
          <w:color w:val="auto"/>
        </w:rPr>
        <w:t>The North America segment includes our personnel that serve clients in the United States and Canada. The following comparative information is for our North America segment in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Quarter Ended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Quarter Ended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of</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Change</w:t>
            </w: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32,484</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34,520</w:t>
            </w: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5,329</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5,546</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27,155</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28,974</w:t>
            </w: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21,234</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24,131</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69.9</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5,921</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4,843</w:t>
            </w: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1,078</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Revenue. </w:t>
      </w:r>
      <w:r>
        <w:rPr>
          <w:rFonts w:ascii="Times New Roman" w:cs="Times New Roman" w:eastAsia="Times New Roman" w:hAnsi="Times New Roman"/>
          <w:sz w:val="20"/>
          <w:szCs w:val="20"/>
          <w:color w:val="auto"/>
        </w:rPr>
        <w:t>For the quarter ended February 28, 2026, North America segment revenue was $32.5 million compared with $34.5 million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year. North America segment revenues for the quarter were adversely impacted by various macroeconomic factors that resulted in lower invoiced amounts in prior periods for our subscription offerings which are recognized pro-ratably over the life of the contact. However, we were encouraged by strong growth in North America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segment invoiced amounts in each of the first and second quarters of fiscal 2026 and believe the new go-to-market strategy is gaining momentum. During the second quarter of fiscal 2026, North America AAP subscription plus subscription services revenues were $30.9 million compared with $32.0 million in the prior year, reflecting the decline in invoiced amounts during fiscal 2025 and decreased services revenues. Rolling four quarter North America AAP subscription and subscription service revenues were $133.5 million compared with $143.7 million for the corresponding period ended February 28, 2025. We remain optimistic about the expected results of our new North America go-to-market strategy as our new North America sales structure is in place and executing on their directives. However, the continued uncertain macroeconomic environment may prevent us from achieving expected sales goals during fiscal 2026. Foreign exchange rates had an insignificant impact on North America revenues and operating results during the second quarter of fiscal 2026.</w:t>
      </w:r>
    </w:p>
    <w:p>
      <w:pPr>
        <w:spacing w:after="0" w:line="17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adversely impacted by lower revenue as described above. North America gross margin remained strong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 relatively flat at 83.6% of revenue during the quarter ended February 28, 2026, compared with 83.9% in the prior year.</w:t>
      </w:r>
    </w:p>
    <w:p>
      <w:pPr>
        <w:spacing w:after="0" w:line="12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SG&amp;A Expense. </w:t>
      </w:r>
      <w:r>
        <w:rPr>
          <w:rFonts w:ascii="Times New Roman" w:cs="Times New Roman" w:eastAsia="Times New Roman" w:hAnsi="Times New Roman"/>
          <w:sz w:val="20"/>
          <w:szCs w:val="20"/>
          <w:color w:val="auto"/>
        </w:rPr>
        <w:t>North America segment SG&amp;A expenses decreased primarily due to reduced associate costs, which have been lowered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recent restructuring activities.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International Segment</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International segment consists of our directly owned international offices and our international licensees that provide our services and products in countries or regions that are not served by a directly owned office. Our directly owned international offices serve clients in Australia, Austria, China, France, Germany, Ireland, Japan, New Zealand, Switzerland, and the United Kingdom. The following comparative information is for our International segment in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Quarter Ended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Quarter 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February 28,</w:t>
            </w:r>
          </w:p>
        </w:tc>
        <w:tc>
          <w:tcPr>
            <w:tcW w:w="20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February 28,</w:t>
            </w:r>
          </w:p>
        </w:tc>
        <w:tc>
          <w:tcPr>
            <w:tcW w:w="22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17"/>
                <w:szCs w:val="17"/>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(528)</w:t>
            </w:r>
          </w:p>
        </w:tc>
      </w:tr>
      <w:tr>
        <w:trPr>
          <w:trHeight w:val="20"/>
        </w:trPr>
        <w:tc>
          <w:tcPr>
            <w:tcW w:w="4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i w:val="1"/>
          <w:iCs w:val="1"/>
          <w:color w:val="auto"/>
        </w:rPr>
        <w:t>Revenue</w:t>
      </w:r>
      <w:r>
        <w:rPr>
          <w:rFonts w:ascii="Times New Roman" w:cs="Times New Roman" w:eastAsia="Times New Roman" w:hAnsi="Times New Roman"/>
          <w:sz w:val="19"/>
          <w:szCs w:val="19"/>
          <w:color w:val="auto"/>
        </w:rPr>
        <w:t>. International segment revenues for the quarter ended February 28, 2026, reflect modest growth with increased direct offices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revenues that were partially offset by decreased licensee revenues in the quarter. International direct office revenue increased 7% driven primarily by improved year-over-year revenues in France and China. International licensee revenues decreased 10% compared with the second quarter of fiscal 2025 and were unfavorably impacted by ongoing macroeconomic issues, such as geopolitical and trade uncertainties in the regions where many of our licensees operate. Foreign exchange rates had a $0.4 million favorable impact on International segment revenue and a $0.1 million favorable impact on operating results during the second quarter of fiscal 2026. We believe international revenues will improve in future periods as multiple international trade issues are resolved and economic conditions stabilize and strengthen.</w:t>
      </w:r>
    </w:p>
    <w:p>
      <w:pPr>
        <w:spacing w:after="0" w:line="13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in the International segment increased slightly in the second quarter of fiscal 2026 due to improved revenues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previously described. Gross margin for the second quarter of fiscal 2026 remained strong at 77.3% of revenue compared with 78.2% in the prior year and decreased primarily due to increased direct costs to deliver programs in certain direct offices and reduced high-margin licensee royalty revenue in the quarter compared with the prior year.</w:t>
      </w:r>
    </w:p>
    <w:p>
      <w:pPr>
        <w:spacing w:after="0" w:line="162"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SG&amp;A Expenses. </w:t>
      </w:r>
      <w:r>
        <w:rPr>
          <w:rFonts w:ascii="Times New Roman" w:cs="Times New Roman" w:eastAsia="Times New Roman" w:hAnsi="Times New Roman"/>
          <w:sz w:val="20"/>
          <w:szCs w:val="20"/>
          <w:color w:val="auto"/>
        </w:rPr>
        <w:t>International SG&amp;A expenses decreased $0.5 million compared with the prior year, as we continued to implement cost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reduction and efficiency initiatives across our international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Education Division</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Our Education Division is comprised of our domestic and international Education practice operations (focused on sales to educational institutions) and includes our widely acclaimed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xml:space="preserve"> program. The following comparative information is for our Education Division in the periods indicated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Quarter Ended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Quarter Ended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2"/>
        </w:trPr>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spacing w:after="0"/>
              <w:rPr>
                <w:sz w:val="17"/>
                <w:szCs w:val="17"/>
                <w:color w:val="auto"/>
              </w:rPr>
            </w:pP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 of</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Change</w:t>
            </w: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17,500</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15,065</w:t>
            </w: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2,435</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6,723</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5,734</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989</w:t>
            </w: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10,777</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9,331</w:t>
            </w: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1,446</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10,361</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9,644</w:t>
            </w:r>
          </w:p>
        </w:tc>
        <w:tc>
          <w:tcPr>
            <w:tcW w:w="9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717</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c>
          <w:tcPr>
            <w:tcW w:w="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729</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Revenue. </w:t>
      </w:r>
      <w:r>
        <w:rPr>
          <w:rFonts w:ascii="Times New Roman" w:cs="Times New Roman" w:eastAsia="Times New Roman" w:hAnsi="Times New Roman"/>
          <w:sz w:val="20"/>
          <w:szCs w:val="20"/>
          <w:color w:val="auto"/>
        </w:rPr>
        <w:t>Education Division revenue for the quarter ended February 28, 2026, increased 16%, or $2.4 million, compared with the second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quarter of the prior year. The increase in Education Division revenue was primarily due to increased subscription and subscription-related revenue, increased classroom and training materials sales, and an additional symposium event. Education Division subscription-related revenue increased primarily due to the delivery of over 300 more training and coaching days than the prior year. Training and coaching days are recognized as revenue when they are delivered. This strong growth in delivery contributed to 16% growth in Education Division subscription and subscription services revenue. Foreign exchange rates had an immaterial impact on Education Division revenue and operating results for the second quarter of fiscal 2026. We continue to be pleased with the strength and momentum of our Education Division, which added 624 new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xml:space="preserve"> schools in a very challenging funding environment during fiscal 2025. We believe the momentum generated in fiscal 2025 and the first half of fiscal 2026 will continue through the remainder of the year. At February 28, 2026, over 8,000 schools around the world were using the </w:t>
      </w:r>
      <w:r>
        <w:rPr>
          <w:rFonts w:ascii="Times New Roman" w:cs="Times New Roman" w:eastAsia="Times New Roman" w:hAnsi="Times New Roman"/>
          <w:sz w:val="20"/>
          <w:szCs w:val="20"/>
          <w:i w:val="1"/>
          <w:iCs w:val="1"/>
          <w:color w:val="auto"/>
        </w:rPr>
        <w:t>Leader in Me</w:t>
      </w:r>
      <w:r>
        <w:rPr>
          <w:rFonts w:ascii="Times New Roman" w:cs="Times New Roman" w:eastAsia="Times New Roman" w:hAnsi="Times New Roman"/>
          <w:sz w:val="20"/>
          <w:szCs w:val="20"/>
          <w:color w:val="auto"/>
        </w:rPr>
        <w:t xml:space="preserve"> program.</w:t>
      </w:r>
    </w:p>
    <w:p>
      <w:pPr>
        <w:spacing w:after="0" w:line="169" w:lineRule="exact"/>
        <w:rPr>
          <w:sz w:val="20"/>
          <w:szCs w:val="20"/>
          <w:color w:val="auto"/>
        </w:rPr>
      </w:pPr>
    </w:p>
    <w:p>
      <w:pPr>
        <w:jc w:val="both"/>
        <w:ind w:right="36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Education Division gross profit increased primarily due to increased revenue as previously described. Education segment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gross margin remained strong at 61.6% compared with 61.9% in the prior year. The slight decline from prior year was primarily due to a change in the mix of services delivered and products sold during the quarter.</w:t>
      </w:r>
    </w:p>
    <w:p>
      <w:pPr>
        <w:spacing w:after="0" w:line="142"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SG&amp;A Expenses. </w:t>
      </w:r>
      <w:r>
        <w:rPr>
          <w:rFonts w:ascii="Times New Roman" w:cs="Times New Roman" w:eastAsia="Times New Roman" w:hAnsi="Times New Roman"/>
          <w:sz w:val="20"/>
          <w:szCs w:val="20"/>
          <w:color w:val="auto"/>
        </w:rPr>
        <w:t>Education SG&amp;A expenses increased primarily due to increased associate expenses from new personnel, changes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plans, increased commissions on previously deferred revenue, and increased cost allocations from shared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Operating Expense Items</w:t>
      </w:r>
    </w:p>
    <w:p>
      <w:pPr>
        <w:spacing w:after="0" w:line="20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Expense </w:t>
      </w:r>
      <w:r>
        <w:rPr>
          <w:rFonts w:ascii="Times New Roman" w:cs="Times New Roman" w:eastAsia="Times New Roman" w:hAnsi="Times New Roman"/>
          <w:sz w:val="20"/>
          <w:szCs w:val="20"/>
          <w:color w:val="auto"/>
        </w:rPr>
        <w:t>– Our depreciation expense for the quarter ended February 28, 2026, increased $0.1 million to $1.1 million, compared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with $1.0 million in the prior year, primarily due to assets acquired in connection with our new headquarters office.</w:t>
      </w:r>
    </w:p>
    <w:p>
      <w:pPr>
        <w:spacing w:after="0" w:line="12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Amortization Expense </w:t>
      </w:r>
      <w:r>
        <w:rPr>
          <w:rFonts w:ascii="Times New Roman" w:cs="Times New Roman" w:eastAsia="Times New Roman" w:hAnsi="Times New Roman"/>
          <w:sz w:val="20"/>
          <w:szCs w:val="20"/>
          <w:color w:val="auto"/>
        </w:rPr>
        <w:t>– Compared with the prior year, our amortization expense decreased $0.4 million to $0.7 million primarily due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re-evaluation of the useful lives of content and license rights originally acquired in the merger with the Covey Leadership Center. These intangible assets continue to be some of our primary revenue and cash flow generating assets. Based on the re-evaluation of these intangible assets, we extended the useful lives of these assets by approximately 5 years.</w:t>
      </w:r>
    </w:p>
    <w:p>
      <w:pPr>
        <w:spacing w:after="0" w:line="162"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w:t>
      </w:r>
      <w:r>
        <w:rPr>
          <w:rFonts w:ascii="Times New Roman" w:cs="Times New Roman" w:eastAsia="Times New Roman" w:hAnsi="Times New Roman"/>
          <w:sz w:val="20"/>
          <w:szCs w:val="20"/>
          <w:color w:val="auto"/>
        </w:rPr>
        <w:t>– Our interest income decreased by $0.2 million in the second quarter of fiscal 2026 compared with the prior year due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decreased cash and lower interest rates on those balances.</w:t>
      </w:r>
    </w:p>
    <w:p>
      <w:pPr>
        <w:spacing w:after="0" w:line="13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 Interest expense for the second quarter of fiscal 2026 of $0.1 million decreased by $0.1 million compared with the prior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year primarily due to decreased debt balances as payments have been made in the normal course of business.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9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Our income tax benefit for the quarter ended February 28, 2026, was $0.1 million on a pre-tax loss of $(2.1) million, for an effective benefit rate of 3.9%. In the second quarter of fiscal 2025, our income tax provision was $0.3 million on a pre-tax loss of $(1.3) million, for an effective benefit rate of 20.2%. Our effective tax benefit rate for the second quarter of fiscal 2026 was lower than the effective rate for the second quarter of the prior year primarily due to increased non-deductible stock 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Two Quarters Ended February 28, 2026 Compared with the Two Quarters Ended February 28,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Enterprise Division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North America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comparative information is for our North America segment in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Two Quarters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Two Quarters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Ended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February 28,</w:t>
            </w:r>
          </w:p>
        </w:tc>
        <w:tc>
          <w:tcPr>
            <w:tcW w:w="20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February 28,</w:t>
            </w:r>
          </w:p>
        </w:tc>
        <w:tc>
          <w:tcPr>
            <w:tcW w:w="22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68,739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74,657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(5,918)</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(833)</w:t>
            </w: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56,710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61,795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(5,085)</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(2,688)</w:t>
            </w: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(2,397)</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Revenue. </w:t>
      </w:r>
      <w:r>
        <w:rPr>
          <w:rFonts w:ascii="Times New Roman" w:cs="Times New Roman" w:eastAsia="Times New Roman" w:hAnsi="Times New Roman"/>
          <w:sz w:val="20"/>
          <w:szCs w:val="20"/>
          <w:color w:val="auto"/>
        </w:rPr>
        <w:t>For the two quarters ended February 28, 2026, North America segment revenue was $68.7 million compared with $74.7 million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prior year. North America segment revenues for the first two quarters of fiscal 2026 were adversely impacted by various macroeconomic factors that resulted in lower invoiced amounts in prior periods for our subscription offerings which are recognized pro-ratably over the life of the contact. During the first two quarters of fiscal 2026, North America AAP subscription plus subscription services revenues were $63.1 million compared with $68.0 million in the prior year, reflecting the decline in invoiced amounts during fiscal 2025, reductions in federal government spending, and decreased services revenues. However, we believe the increase in invoiced amounts in the first and second quarters will produce revenue growth in future periods.</w:t>
      </w:r>
    </w:p>
    <w:p>
      <w:pPr>
        <w:spacing w:after="0" w:line="16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was adversely impacted by lower revenue as previously described. North America gross margin for the first two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quarters of fiscal 2026 remained strong at 82.5%, and was relatively flat compared with 82.8% in the first half of the prior year.</w:t>
      </w:r>
    </w:p>
    <w:p>
      <w:pPr>
        <w:spacing w:after="0" w:line="138"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SG&amp;A Expense. </w:t>
      </w:r>
      <w:r>
        <w:rPr>
          <w:rFonts w:ascii="Times New Roman" w:cs="Times New Roman" w:eastAsia="Times New Roman" w:hAnsi="Times New Roman"/>
          <w:sz w:val="20"/>
          <w:szCs w:val="20"/>
          <w:color w:val="auto"/>
        </w:rPr>
        <w:t>North America segment SG&amp;A expenses decreased primarily due to reduced associate costs, which have been lowered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recent restructuring activities, and by other cost cutting initiatives.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International Segment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comparative information is for our International segment in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Two Quarters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Two Quarters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Ended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Ended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February 28,</w:t>
            </w:r>
          </w:p>
        </w:tc>
        <w:tc>
          <w:tcPr>
            <w:tcW w:w="20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February 28,</w:t>
            </w:r>
          </w:p>
        </w:tc>
        <w:tc>
          <w:tcPr>
            <w:tcW w:w="22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20,359</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15,746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16,036</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(1,847)</w:t>
            </w: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i w:val="1"/>
          <w:iCs w:val="1"/>
          <w:color w:val="auto"/>
        </w:rPr>
        <w:t>Revenue</w:t>
      </w:r>
      <w:r>
        <w:rPr>
          <w:rFonts w:ascii="Times New Roman" w:cs="Times New Roman" w:eastAsia="Times New Roman" w:hAnsi="Times New Roman"/>
          <w:sz w:val="19"/>
          <w:szCs w:val="19"/>
          <w:color w:val="auto"/>
        </w:rPr>
        <w:t>. International revenues for the two quarters ended February 28, 2026, were essentially flat for both our direct offices and licensees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when compared with the prior year. Increased sales at our offices in France and the United Kingdom were offset by decreased sales in China. Our China office continues to be adversely impacted by trade tensions and other related factors. Foreign exchange rates had a $0.6 million favorable impact on International segment revenue and a $0.2 million favorable impact on operating results in the first half of fiscal 2026.</w:t>
      </w:r>
    </w:p>
    <w:p>
      <w:pPr>
        <w:spacing w:after="0" w:line="14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Gross profit in the International segment decreased primarily due to increased costs necessary to deliver our services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Gross margin for the first half of fiscal 2026 was 77.3% of revenue compared with 78.3% in the prior year and decreased primarily due to increased fixed costs related to the delivery of live seminars combined with increased costs to support our licensee channel when compared with fiscal 2025.</w:t>
      </w:r>
    </w:p>
    <w:p>
      <w:pPr>
        <w:spacing w:after="0" w:line="149"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SG&amp;A Expenses. </w:t>
      </w:r>
      <w:r>
        <w:rPr>
          <w:rFonts w:ascii="Times New Roman" w:cs="Times New Roman" w:eastAsia="Times New Roman" w:hAnsi="Times New Roman"/>
          <w:sz w:val="20"/>
          <w:szCs w:val="20"/>
          <w:color w:val="auto"/>
        </w:rPr>
        <w:t>International SG&amp;A expenses decreased $1.8 million primarily due to cost reduction and efficiency initiatives enacted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offset the impact of essentially flat revenue growth and decreased bad debt expense when compared with the prior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Education Division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comparative information is for our Education Division in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Two Quarters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Two Quarters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Ended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Ended</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28,</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February 28,</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 of</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2026</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Sales</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Change</w:t>
            </w:r>
          </w:p>
        </w:tc>
        <w:tc>
          <w:tcPr>
            <w:tcW w:w="100" w:type="dxa"/>
            <w:vAlign w:val="bottom"/>
          </w:tcPr>
          <w:p>
            <w:pPr>
              <w:spacing w:after="0"/>
              <w:rPr>
                <w:sz w:val="18"/>
                <w:szCs w:val="18"/>
                <w:color w:val="auto"/>
              </w:rPr>
            </w:pPr>
          </w:p>
        </w:tc>
      </w:tr>
      <w:tr>
        <w:trPr>
          <w:trHeight w:val="19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33,593</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31,529</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FF0FC"/>
          </w:tcPr>
          <w:p>
            <w:pPr>
              <w:spacing w:after="0"/>
              <w:rPr>
                <w:sz w:val="17"/>
                <w:szCs w:val="17"/>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12,910</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20,683</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FF0FC"/>
          </w:tcPr>
          <w:p>
            <w:pPr>
              <w:spacing w:after="0"/>
              <w:rPr>
                <w:sz w:val="17"/>
                <w:szCs w:val="17"/>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21,202</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(519)</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(472)</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Revenue. </w:t>
      </w:r>
      <w:r>
        <w:rPr>
          <w:rFonts w:ascii="Times New Roman" w:cs="Times New Roman" w:eastAsia="Times New Roman" w:hAnsi="Times New Roman"/>
          <w:sz w:val="20"/>
          <w:szCs w:val="20"/>
          <w:color w:val="auto"/>
        </w:rPr>
        <w:t>Education Division revenue for the two quarters ended February 28, 2026, increased 7%, or $2.1 million, compared with the first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two quarters of the prior year. The increase in Education Division revenue was primarily due to increased subscription and subscription-related revenue, which was partially offset by decreased classroom and training materials sales. Education Division subscription-related revenue increased primarily due to the delivery of over 500 more training and coaching days than the prior year. Training and coaching days are recognized as revenue when they are delivered. The decrease in classroom and training materials was due in part to a new initiative with a state that began in the first quarter of fiscal 2025 that did not repeat at the same level during the first two quarters of fiscal 2026. The strong growth in training and coaching delivery contributed to 7% growth in Education Division subscription and subscription services revenue in the first two quarters of fiscal 2026. Foreign exchange rates had a $0.2 million favorable impact on Education Division revenue and operating results in the first two quarters of fiscal 2026.</w:t>
      </w:r>
    </w:p>
    <w:p>
      <w:pPr>
        <w:spacing w:after="0" w:line="17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Gross Profit. </w:t>
      </w:r>
      <w:r>
        <w:rPr>
          <w:rFonts w:ascii="Times New Roman" w:cs="Times New Roman" w:eastAsia="Times New Roman" w:hAnsi="Times New Roman"/>
          <w:sz w:val="20"/>
          <w:szCs w:val="20"/>
          <w:color w:val="auto"/>
        </w:rPr>
        <w:t>Education Division gross profit increased primarily due to increased revenue as previously described. Education Division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gross margin for the first half of fiscal 2026 declined to 61.6% compared with 62.6% in the prior year primarily due to increased materials and platform costs combined with a change in the mix of services delivered and products sold.</w:t>
      </w:r>
    </w:p>
    <w:p>
      <w:pPr>
        <w:spacing w:after="0" w:line="15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SG&amp;A Expenses. </w:t>
      </w:r>
      <w:r>
        <w:rPr>
          <w:rFonts w:ascii="Times New Roman" w:cs="Times New Roman" w:eastAsia="Times New Roman" w:hAnsi="Times New Roman"/>
          <w:sz w:val="20"/>
          <w:szCs w:val="20"/>
          <w:color w:val="auto"/>
        </w:rPr>
        <w:t>Education SG&amp;A expenses increased primarily due to increased associate costs for new personnel, changes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plans, increased commissions on previously deferred revenue, increased cost allocations from shared services, and increases to the allowance for credit losses.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Operating Expense Items</w:t>
      </w:r>
    </w:p>
    <w:p>
      <w:pPr>
        <w:spacing w:after="0" w:line="20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Depreciation Expense </w:t>
      </w:r>
      <w:r>
        <w:rPr>
          <w:rFonts w:ascii="Times New Roman" w:cs="Times New Roman" w:eastAsia="Times New Roman" w:hAnsi="Times New Roman"/>
          <w:sz w:val="20"/>
          <w:szCs w:val="20"/>
          <w:color w:val="auto"/>
        </w:rPr>
        <w:t>– Our depreciation expense for the two quarters ended February 28, 2026, increased $0.3 million to $2.2 million,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primarily from assets acquired in connection with our new headquarters office. We currently anticipate that depreciation expense will total approximately $4.5 million in fiscal 2026.</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Amortization Expense </w:t>
      </w:r>
      <w:r>
        <w:rPr>
          <w:rFonts w:ascii="Times New Roman" w:cs="Times New Roman" w:eastAsia="Times New Roman" w:hAnsi="Times New Roman"/>
          <w:sz w:val="20"/>
          <w:szCs w:val="20"/>
          <w:color w:val="auto"/>
        </w:rPr>
        <w:t>– Compared with the prior year, our amortization expense for the first two quarters of fiscal 2026 decreased $0.8</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million to $1.4 million primarily due to the re-evaluation of the useful lives of content and license rights originally acquired in the merger with the Covey Leadership Center as these intangible assets continue to be some of our primary revenue and cash flow generating assets. We currently anticipate our finite-lived intangible asset amortization expense will total $3.0 million in fiscal 2026.</w:t>
      </w:r>
    </w:p>
    <w:p>
      <w:pPr>
        <w:spacing w:after="0" w:line="149"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Income </w:t>
      </w:r>
      <w:r>
        <w:rPr>
          <w:rFonts w:ascii="Times New Roman" w:cs="Times New Roman" w:eastAsia="Times New Roman" w:hAnsi="Times New Roman"/>
          <w:sz w:val="20"/>
          <w:szCs w:val="20"/>
          <w:color w:val="auto"/>
        </w:rPr>
        <w:t>– For the two quarters ended February 28, 2026, our interest income decreased by $0.4 million to $0.1 million due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decreased cash balances and lower interest rates on those balances.</w:t>
      </w:r>
    </w:p>
    <w:p>
      <w:pPr>
        <w:spacing w:after="0" w:line="138"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Interest Expense </w:t>
      </w:r>
      <w:r>
        <w:rPr>
          <w:rFonts w:ascii="Times New Roman" w:cs="Times New Roman" w:eastAsia="Times New Roman" w:hAnsi="Times New Roman"/>
          <w:sz w:val="20"/>
          <w:szCs w:val="20"/>
          <w:color w:val="auto"/>
        </w:rPr>
        <w:t>– Interest expense for the first half of fiscal 2026 decreased $0.1 million to $0.2 million compared with the first half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fiscal 2025 due to decreased debt balances as payments have been made in the normal course of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9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Our income tax benefit for the first two quarters of fiscal 2026 was $0.4 million on a pre-tax loss of $(5.7) million, for an effective benefit rate of 7.4%, compared with and effective tax rate of 56.1% through February 28, 2025, when we recorded income tax expense of $0.1 million on pre-tax income of $0.2 million. Our effective benefit rate in the first two quarters of fiscal 2026 was reduced primarily due to non-deductible stock-based compensation expense. Our effective tax rate in the first half of fiscal 2025 was higher than normal due to near break-even pre-tax income for the period.</w:t>
      </w:r>
    </w:p>
    <w:p>
      <w:pPr>
        <w:spacing w:after="0" w:line="17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We currently estimate that our effective tax rate will normalize during the remainder of fiscal 2026 to approximately 37%, which is higher than normal statutory rates primarily due to non-deductible stock based compensation.</w:t>
      </w:r>
    </w:p>
    <w:p>
      <w:pPr>
        <w:spacing w:after="0" w:line="17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We paid $0.3 million of cash for taxes during the two quarters ended February 28, 2026. Our cash paid for taxes in the first two quarters of fiscal 2026 was significantly less than cash paid in fiscal 2025 primarily due to payments made for the fiscal 2024 income tax provision, which was significantly larger than the fiscal 2025 tax provision. We anticipate our total cash paid for income taxes over the coming years will approximate our total income provision on an annual basis.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19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At February 28, 2026 we had over $76 million of available liquidity, which consisted of $13.7 million in cash combined with our full available $62.5 million revolving credit facility. Of our $13.7 million of cash on February 28, 2026, $7.5 million was held outside the U.S. by our foreign subsidiaries. We routinely repatriate cash from our foreign subsidiaries and consider cash generated from foreign activities a key component of our overall liquidity position. Our primary sources of liquidity are cash flows from the sale of services and products in the normal course of business and available proceeds from our credit facility. Our primary uses of liquidity include payments for operating activities, opportunistic purchases of our common stock, working capital expansion, and capital expenditures (including curriculum development).</w:t>
      </w:r>
    </w:p>
    <w:p>
      <w:pPr>
        <w:spacing w:after="0" w:line="17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previously entered into a credit agreement (the 2023 Credit Agreement) with KeyBank National Association leading a group of financial institutions. The 2023 Credit Agreement provides up to $70.0 million in total credit, of which $7.5 million was used to replace the outstanding term loan balance from the previous credit agreement. The remaining $62.5 million is available as a revolving line of credit or for future term loans. The 2023 Credit Agreement matures on March 27, 2028.</w:t>
      </w:r>
    </w:p>
    <w:p>
      <w:pPr>
        <w:spacing w:after="0" w:line="16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As defined in the 2023 Credit Agreement, we are (i) required to maintain a Leverage Ratio of less than 3.00 to 1.00 and a Fixed Charge Coverage Ratio greater than 1.15 to 1.00; and (ii) we are restricted from making certain distributions to stockholders, including repurchases of common stock. However, we are permitted to make distributions, including through purchases of outstanding common stock, provided that we are in compliance with the Leverage Ratio and Fixed Charge Coverage Ratio financial covenants before and after such distribution. At February 28, 2026, we believe that we were in compliance with the terms and covenants contained in the 2023 Credit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The following discussion is a description of the primary factors affecting our cash flows and their effects upon our liquidity and capital resources during the two quarters ended February 28, 2026.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Provided By Operating Activities</w:t>
      </w: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Our primary source of cash from operating activities was the sale of services to our customers in the normal course of business. Our primary uses of cash for operating activities were payments for SG&amp;A expenses, direct costs necessary to conduct training programs, to fund working capital changes, and to suppliers for materials used in training manuals sold. Our cash provided by operating activities during the first two quarters of fiscal 2026 increased $3.6 million, or 28%, to $16.4 million compared with $12.8 million in the first half of fiscal 2025. The increase in cash flows from operating activities was primarily attributable to favorable changes in working capital balances, which featured improved collections of receivables compared with the first quarter of fiscal 2026 and continued increases in invoiced amounts. These improvements offset lower operating income in the first half of fiscal 2026 compared with the prior year. We expect our cash flows from operating activities will continue to improve during fiscal 2026; however certain conditions are beyond our control, including ongoing difficulties in the macroeconomic environment, geopolitical tensions, and further governmental actions, and our cash flows from operating activities may be less than our current expectations.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Used For Investing Activities and Capital Expenditures</w:t>
      </w:r>
    </w:p>
    <w:p>
      <w:pPr>
        <w:spacing w:after="0" w:line="19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For the two quarters ended February 28, 2026, our cash used for investing activities totaled $6.8 million. Our primary uses of cash for investing activities consisted of additional investments in the development of our offerings and purchases of property and equipment in the normal course of business.</w:t>
      </w:r>
    </w:p>
    <w:p>
      <w:pPr>
        <w:spacing w:after="0" w:line="16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In the first half of fiscal 2026, we spent $4.1 million on the development of our various offerings and related content. We believe continued investment in our offerings and content is key to future growth and the development of our business. We currently expect that our cash used for curriculum development will total between approximately $8 million and $10 million in fiscal 2026.</w:t>
      </w:r>
    </w:p>
    <w:p>
      <w:pPr>
        <w:spacing w:after="0" w:line="16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Our cash used for purchases of property and equipment during the first two quarters of fiscal 2026 totaled $2.8 million and consisted primarily of leasehold improvements on our new corporate headquarters, and computer software and hardware. We currently anticipate that our cash used for purchases of property and equipment will total between approximately $5 million and $7 million in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 Used For Financing Activities</w:t>
      </w: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the first two quarters of fiscal 2026, our net cash used for financing activities totaled $27.6 million. Our primary use of financing cash was $28.1 million used to purchase shares of our common stock, which consisted of shares purchased on the open market and shares withheld for income taxes on stock-based compensation awards (Note 2). Partially offsetting our use of cash for purchasing shares of our common stock for treasury were $0.6 million of proceeds received from our ESPP participants to purchase shares of common stock during the first half of fiscal 2026. We utilized proceeds from our available line of credit to facilitate purchases of common stock during the second quarter of fiscal 2026. However, we repaid the outstanding balance on the line of credit prior to February 28, 2026.</w:t>
      </w:r>
    </w:p>
    <w:p>
      <w:pPr>
        <w:spacing w:after="0" w:line="17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On April 18, 2024, our Board of Directors approved a plan to purchase up to $50.0 million of our outstanding common stock. On August 11, 2025, the Board of Directors approved a replenishment of the plan to purchase up to $50.0 million of common stock. On August 14, 2025 we initiated a 10b5-1 plan to purchase up to $10.0 million of our common stock through daily transactions. This 10b5-1 plan was completed in October 2025. On November 17, 2025, we initiated a new 10b5-1 plan to purchase up to $20.0 million of our common stock through daily transactions. This purchase plan was completed in January 2026.</w:t>
      </w:r>
    </w:p>
    <w:p>
      <w:pPr>
        <w:spacing w:after="0" w:line="158"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Our uses of financing cash during the remainder of fiscal 2026 may include purchases of our common stock. However, the timing and amount of common stock purchases is dependent on a number of factors, including available resources, and we are not obligated to make purchases of our common stock during any future period except as required by any outstanding 10b5-1 purchase plan.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expect to pay the liabilities from our leases and notes payable; pay for projected capital expenditures; and meet other obligations in fiscal 2026 and beyond from current cash balances and future cash flows from operating activities. Going forward, we will continue to incur costs necessary for the day-to-day operation of the business and may use additional credit and other financing alternatives, if necessary, for these expenditures. We have a credit agreement (the 2023 Credit Agreement) which we expect to renew and amend on a regular basis to maintain the long-term borrowing capacity of this credit facility. Additional potential sources of liquidity available to us include factoring receivables, issuance of additional equity, or issuance of debt to public or private sources. If necessary, we will evaluate all of these options and select one or more of them depending on overall capital needs and the associated cost of capital.</w:t>
      </w:r>
    </w:p>
    <w:p>
      <w:pPr>
        <w:spacing w:after="0" w:line="17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believe that our existing cash and cash equivalents, cash generated by operating activities, and the availability of external funds as described above, will be sufficient for us to maintain our operations for at least the upcoming 12 months. However, our ability to maintain adequate capital for our operations in the future is dependent upon a number of factors, including sales trends, macroeconomic activity, our ability to contain costs, levels of capital expenditures, collection of accounts receivable, opportunistic purchases of our common stock, and other factors. Some of the factors that influence our operations are not within our control, such as general economic conditions, business conditions in international locations, geopolitical tensions in various locations, and the introduction of new offerings or technology by our competitors. We will continue to monitor our liquidity position and may pursue additional financing alternatives, as described above, to maintain sufficient resources for future growth and capital requirements. However, there can be no assurance such financing alternatives will be available to us on acceptable terms, or at 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Uses of Cash and Contractual Obligations</w:t>
      </w:r>
    </w:p>
    <w:p>
      <w:pPr>
        <w:spacing w:after="0" w:line="19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do not operate any manufacturing, mining, or other capital-intensive facilities, and we have not structured any special purpose entities, or participated in any commodity trading activities, which would expose us to potential undisclosed liabilities or create adverse consequences to our liquidity. However, we have normal ongoing cash expenditures and are subject to various contractual obligations that are required to run our business. Our material cash requirements include the following:</w:t>
      </w:r>
    </w:p>
    <w:p>
      <w:pPr>
        <w:spacing w:after="0" w:line="166"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Associate and Consultant Compensation</w:t>
      </w:r>
    </w:p>
    <w:p>
      <w:pPr>
        <w:spacing w:after="0" w:line="20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Technology Expenditures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Content Development Costs</w:t>
      </w:r>
    </w:p>
    <w:p>
      <w:pPr>
        <w:spacing w:after="0" w:line="20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0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Contractual Obligations</w:t>
      </w:r>
    </w:p>
    <w:p>
      <w:pPr>
        <w:spacing w:after="0" w:line="185"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20"/>
          <w:szCs w:val="20"/>
          <w:color w:val="auto"/>
        </w:rPr>
        <w:t xml:space="preserve">These material cash requirements are discussed in more detail in Part II, Item 7, </w:t>
      </w:r>
      <w:r>
        <w:rPr>
          <w:rFonts w:ascii="Times New Roman" w:cs="Times New Roman" w:eastAsia="Times New Roman" w:hAnsi="Times New Roman"/>
          <w:sz w:val="20"/>
          <w:szCs w:val="20"/>
          <w:i w:val="1"/>
          <w:iCs w:val="1"/>
          <w:color w:val="auto"/>
        </w:rPr>
        <w:t>Management’s Discussion and Analysis of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Condition and Results of Operations </w:t>
      </w:r>
      <w:r>
        <w:rPr>
          <w:rFonts w:ascii="Times New Roman" w:cs="Times New Roman" w:eastAsia="Times New Roman" w:hAnsi="Times New Roman"/>
          <w:sz w:val="20"/>
          <w:szCs w:val="20"/>
          <w:color w:val="auto"/>
        </w:rPr>
        <w:t>in our Annual Report. During the quarter ended February 28, 2026, there have been no material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to our expected uses of cash and contractual obligations from those discussed in our Annual Report. However, current economic conditions and other forecasts may change and could alter our expected material uses of cash in future periods. For further information on our material uses of cash and contractual obligations, refer to the information included in our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0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 xml:space="preserve">Our consolidated financial statements were prepared in accordance with GAAP. For information on our critical accounting policies, see “Critical Accounting Estimates” in the </w:t>
      </w:r>
      <w:r>
        <w:rPr>
          <w:rFonts w:ascii="Times New Roman" w:cs="Times New Roman" w:eastAsia="Times New Roman" w:hAnsi="Times New Roman"/>
          <w:sz w:val="20"/>
          <w:szCs w:val="20"/>
          <w:i w:val="1"/>
          <w:iCs w:val="1"/>
          <w:color w:val="auto"/>
        </w:rPr>
        <w:t>Management’s Discussion and Analysis of Financial Condition and Results of Operations</w:t>
      </w:r>
      <w:r>
        <w:rPr>
          <w:rFonts w:ascii="Times New Roman" w:cs="Times New Roman" w:eastAsia="Times New Roman" w:hAnsi="Times New Roman"/>
          <w:sz w:val="20"/>
          <w:szCs w:val="20"/>
          <w:color w:val="auto"/>
        </w:rPr>
        <w:t xml:space="preserve"> included in Part II, Item 7 of our Annual Report. Refer to those disclosures for further information regarding our uses of estimates and critical accounting policies. There have been no significant changes to our previously disclosed estimates or critical accounting policies.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Estimates</w:t>
      </w:r>
    </w:p>
    <w:p>
      <w:pPr>
        <w:spacing w:after="0" w:line="193"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Some of the accounting guidance we use requires us to make estimates and assumptions that affect the amounts reported in our consolidated financial statements. We regularly evaluate our estimates and assumptions and base those estimates and assumptions on historical experience, factors that are believed to be reasonable under the circumstances, and requirements under GAAP. Actual results may differ from these estimates under different assumptions or conditions, including changes in economic conditions and other circumstances that are not within our control, but which may have an impact on these estimates and our actual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0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Refer to Note 1 to our unaudited condensed consolidated financial statements for a description of new accounting pronouncements that may impact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 UNDER THE PRIVATE SECURITIES LITIGATION REFORM ACT OF 1995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statements made by the Company in this report are “forward-looking statements” within the meaning of the Private Securities Litigation Reform Act of 1995 and Section 21E of the Securities Exchange Act of 1934 as amended (the Exchange Act). Forward-looking statements include, without limitation, any statement that may predict, forecast, indicate, or imply future results, performance, or achievements, and may contain words such as “believe,” “anticipate,” “expect,” “estimate,” “project,” or words or phrases of similar meaning. In our reports and filings we may make forward-looking statements regarding, among other things, our expectations about future revenue levels and financial results, our financial performance during fiscal 2026, our expectations regarding a new go-to-market strategy, future training and consulting revenue, expected increases in add-on subscription services revenue and delivered training and coaching days, anticipated renewals of subscription offerings, our ability to hire sales professionals, the amount and timing of capital expenditures, anticipated expenses, including SG&amp;A expenses, depreciation, and amortization, future gross margins, the release of new services or products, the adequacy of existing capital resources, our ability to renew or extend our line of credit facility, expected effective income tax rates, our ability to maintain adequate capital for our operations for at least the upcoming 12 months, the expected impact of the resolution of significant macroeconomic issues and geopolitical tensions, the seasonality of future revenues, future compliance with the terms and conditions of our line of credit, the ability to borrow on our line of credit, expected collection of accounts receivable, estimated capital expenditures, and cash flow estimates used to determine the fair value of long-lived assets. These, and other forward-looking statements, are subject to certain risks and uncertainties that may cause actual results to differ materially from the forward-looking statements. These risks and uncertainties are disclosed from time to time in reports filed by us with the SEC, including reports on Forms 8-K, 10-Q, and 10-K. Such risks and uncertainties include, but are not limited to, the matters discussed in Item 1A of our Annual Report, entitled “Risk Factors.” In addition, such risks and uncertainties may include unanticipated developments in any one or more of the following areas: cybersecurity risks; macroeconomic risks; litigation; unanticipated costs or capital expenditures; delays or unanticipated outcomes relating to our strategic plans; dependence on existing products or services; the rate and consumer acceptance of new product introductions, including the All Access Pass; competition; the impact of foreign exchange rates; the number and nature of customers and their product orders, including changes in the timing or mix of product or training orders; pricing of our products and services and those of competitors; adverse publicity; and other factors which may adversely affect our business.</w:t>
      </w:r>
    </w:p>
    <w:p>
      <w:pPr>
        <w:spacing w:after="0" w:line="19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risks included here are not exhaustive. Other sections of this report may include additional factors that could adversely affect our business and financial performance. Moreover, we operate in a very competitive and rapidly changing environment. New risk factors may emerge and it is not possible for our management to predict all such risk factors, nor can we assess the impact of all such risk factors on our business or the extent to which any single factor, or combination of factors, may cause actual results to differ materially from those contained in forward-looking statements. Given these risks and uncertainties, investors should not rely on forward-looking statements as a prediction of actual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market price of our common stock has been and may remain volatile. In addition, stock markets in general have experienced significant volatility. Factors such as quarter-to-quarter variations in revenues and earnings or losses and our failure to meet expectations could have a significant impact on the market price of our common stock. In addition, the price of our common stock can change for reasons unrelated to our performance, such as government actions on spending and trade. Due to our low market capitalization, the price of our common stock may also be affected by conditions such as a lack of analyst coverage, and fewer potential investors.</w:t>
      </w:r>
    </w:p>
    <w:p>
      <w:pPr>
        <w:spacing w:after="0" w:line="15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Forward-looking statements are based on management’s expectations as of the date made, and we do not undertake any responsibility to update any of these statements in the future except as required by law. Actual future performance and results will differ and may differ materially from that contained in or suggested by forward-looking statements as a result of the factors set forth in this Management’s Discussion and Analysis and elsewhere in our filings with the SEC.</w:t>
      </w:r>
    </w:p>
    <w:p>
      <w:pPr>
        <w:spacing w:after="0" w:line="200" w:lineRule="exact"/>
        <w:rPr>
          <w:sz w:val="20"/>
          <w:szCs w:val="20"/>
          <w:color w:val="auto"/>
        </w:rPr>
      </w:pPr>
    </w:p>
    <w:p>
      <w:pPr>
        <w:spacing w:after="0" w:line="223" w:lineRule="exact"/>
        <w:rPr>
          <w:sz w:val="20"/>
          <w:szCs w:val="20"/>
          <w:color w:val="auto"/>
        </w:rPr>
      </w:pPr>
    </w:p>
    <w:p>
      <w:pPr>
        <w:ind w:right="3600"/>
        <w:spacing w:after="0" w:line="450" w:lineRule="auto"/>
        <w:rPr>
          <w:sz w:val="20"/>
          <w:szCs w:val="20"/>
          <w:color w:val="auto"/>
        </w:rPr>
      </w:pPr>
      <w:r>
        <w:rPr>
          <w:rFonts w:ascii="Times New Roman" w:cs="Times New Roman" w:eastAsia="Times New Roman" w:hAnsi="Times New Roman"/>
          <w:sz w:val="20"/>
          <w:szCs w:val="20"/>
          <w:color w:val="auto"/>
        </w:rPr>
        <w:t xml:space="preserve">ITEM 3. QUANTITATIVE AND QUALITATIVE DISCLOSURES ABOUT MARKET RISK </w:t>
      </w:r>
      <w:r>
        <w:rPr>
          <w:rFonts w:ascii="Times New Roman" w:cs="Times New Roman" w:eastAsia="Times New Roman" w:hAnsi="Times New Roman"/>
          <w:sz w:val="20"/>
          <w:szCs w:val="20"/>
          <w:b w:val="1"/>
          <w:bCs w:val="1"/>
          <w:color w:val="auto"/>
        </w:rPr>
        <w:t>Interest Rate Sensitivity</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At February 28, 2026, our long-term obligations primarily consisted of a fixed rate note payable from the purchase of Strive Talent, Inc., and long-term leasing arrangements. Since our long-term obligations have fixed interest rates, our overall interest rate sensitivity is currently influenced by any amounts borrowed on our 2023 Credit Agreement, and the prevailing interest rate on this credit facility. The effective interest rate on the 2023 Credit Agreement is variable and was 5.3% on February 28, 2026. As of February 28, 2026, there were no outstanding borrowings under the 2023 Credit Agreement and, therefore, a change in interest rates would not materially affect our interest expense and cash flows.</w:t>
      </w:r>
    </w:p>
    <w:p>
      <w:pPr>
        <w:spacing w:after="0" w:line="15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There have been no other material changes from the information previously reported under Part II, Item 7A of our Annual Report. We did not utilize any foreign currency or interest rate derivative instruments during the quarter or two quarters ended February 28, 2026.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0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our management, including the Chief Executive Officer and the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evaluated the effectiveness of the design and operation of our disclosure controls and procedures, as defined in Rules 13a-15(e) and 15d-15(e) of the Exchange Act, as of the end of the period covered by this report. Based on this evaluation, the Chief Executive Officer and the Chief Financial Officer concluded that our disclosure controls and procedures were effective as of the end of the period covered by this Quarterly Report on Form 10-Q.</w:t>
      </w:r>
    </w:p>
    <w:p>
      <w:pPr>
        <w:spacing w:after="0" w:line="15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There were no changes in our internal controls over financial reporting (as defined in Rule 13a-15(f) or 15d-15(f)) during the most recently completed fiscal quarter that have materially affected, or are reasonably likely to materially affect, our internal controls over financial reporting.</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 LEGAL PROCEEDINGS</w:t>
      </w:r>
    </w:p>
    <w:p>
      <w:pPr>
        <w:spacing w:after="0" w:line="21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Franklin Saltlake LLC, the former landlord (the Landlord) for the leased premises that housed the Company’s corporate offices previously located at 2200 West Parkway Blvd, Salt Lake City, Utah, filed suit against a subsidiary, Franklin Development Corporation (Franklin Development), on December 20, 2024, in Third District Court, Salt Lake County, Utah. The original complaint alleged that Franklin Development breached the lease by failing to make certain repairs and replacements to equipment on the premises. The Landlord originally sought approximately $2.3 million in damages and a right to enter the premises to make the alleged repairs. The Company vacated the premises on June 30, 2025. The Landlord filed a supplemental complaint on September 18, 2025, alleging approximately $5 million in damages and that Franklin Development is in holdover. The Landlord now seeks no less than $9.2 million in damages. Franklin Development denies all material allegations; contends that the premises and associated equipment were in sound operating condition as of June 30, 2025, and asserts that the Landlord’s demands are contrary to the language of the lease and reasonable commercial practice. Franklin Development answered the supplemental complaint and filed a counterclaim on October 2, 2025, asserting claims for breach of the covenant of good faith and fair dealing and declaratory relief. The parties engaged in fact discovery, which closed on March 2, 2026, and are now engaged in expert discovery. Franklin Development continues to vigorously defend against this suit, but, given the current stage of litigation, any outcome remains uncertain.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1A. RISK FACTORS</w:t>
      </w:r>
    </w:p>
    <w:p>
      <w:pPr>
        <w:spacing w:after="0" w:line="185" w:lineRule="exact"/>
        <w:rPr>
          <w:sz w:val="20"/>
          <w:szCs w:val="20"/>
          <w:color w:val="auto"/>
        </w:rPr>
      </w:pPr>
    </w:p>
    <w:p>
      <w:pPr>
        <w:ind w:right="20"/>
        <w:spacing w:after="0" w:line="300" w:lineRule="auto"/>
        <w:rPr>
          <w:sz w:val="20"/>
          <w:szCs w:val="20"/>
          <w:color w:val="auto"/>
        </w:rPr>
      </w:pPr>
      <w:r>
        <w:rPr>
          <w:rFonts w:ascii="Times New Roman" w:cs="Times New Roman" w:eastAsia="Times New Roman" w:hAnsi="Times New Roman"/>
          <w:sz w:val="19"/>
          <w:szCs w:val="19"/>
          <w:color w:val="auto"/>
        </w:rPr>
        <w:t xml:space="preserve">Refer to Part I, Item 1A,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of our Annual Report for a detailed description of our significant risk factors. Other than the risk factor disclosed in this Item 1A below, there have been no significant changes to these risk factors during the first two quarters of fiscal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Adverse resolution of litigation may harm our operating results or financial condition.</w:t>
      </w:r>
    </w:p>
    <w:p>
      <w:pPr>
        <w:spacing w:after="0" w:line="206"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We are subject to various legal proceedings and claims in the ordinary course of business domestically and internationally. Any litigation can be costly, lengthy, and disruptive to normal business operations. Moreover, the results of complex legal proceedings are difficult to predict. An unfavorable resolution of lawsuits could materially harm our business, operating results, or financial condition.</w:t>
      </w:r>
    </w:p>
    <w:p>
      <w:pPr>
        <w:spacing w:after="0" w:line="1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December 20, 2024, our previous Landlord filed a lawsuit alleging breach of lease for failure to perform certain equipment repairs and replacements. While we believe that the premises and associated equipment remain in sound operating condition, and that no such repair is warranted or needed and we intend to respond to all claims vigorously, we cannot predict with certainty the outcome of current or future legal proceedings. The outcome of legal proceedings, whether or not meritorious, is inherently uncertain. Defending against claims requires significant management attention and financial resources. We may incur costs through defense expenses, settlements, or adverse judgments. These proceedings could materially harm our business operations, financial results and condition, management focus and resources, and reputation and brand value. The costs and distractions of litigation, particularly if claims increase in scope or number, could materially impact our business success and shareholder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purchases of our common stock during the fiscal quarter ended February 28, 2026: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Maximum</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Number (or</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Approximate</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Dollar Value) of</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Total Number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Shares (or Units)</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Shares Purchased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that May Yet Be</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as Part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Purchased Under</w:t>
            </w:r>
          </w:p>
        </w:tc>
      </w:tr>
      <w:tr>
        <w:trPr>
          <w:trHeight w:val="189"/>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Publicly</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the Plans or</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Total 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Average Price</w:t>
            </w:r>
          </w:p>
        </w:tc>
        <w:tc>
          <w:tcPr>
            <w:tcW w:w="100" w:type="dxa"/>
            <w:vAlign w:val="bottom"/>
          </w:tcPr>
          <w:p>
            <w:pPr>
              <w:spacing w:after="0"/>
              <w:rPr>
                <w:sz w:val="18"/>
                <w:szCs w:val="18"/>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Announced Plans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19"/>
              <w:spacing w:after="0" w:line="217" w:lineRule="exact"/>
              <w:rPr>
                <w:sz w:val="20"/>
                <w:szCs w:val="20"/>
                <w:color w:val="auto"/>
              </w:rPr>
            </w:pPr>
            <w:r>
              <w:rPr>
                <w:rFonts w:ascii="Times New Roman" w:cs="Times New Roman" w:eastAsia="Times New Roman" w:hAnsi="Times New Roman"/>
                <w:sz w:val="16"/>
                <w:szCs w:val="16"/>
                <w:color w:val="auto"/>
                <w:w w:val="97"/>
              </w:rPr>
              <w:t>Programs</w:t>
            </w:r>
            <w:r>
              <w:rPr>
                <w:rFonts w:ascii="Times New Roman" w:cs="Times New Roman" w:eastAsia="Times New Roman" w:hAnsi="Times New Roman"/>
                <w:sz w:val="21"/>
                <w:szCs w:val="21"/>
                <w:color w:val="auto"/>
                <w:w w:val="97"/>
                <w:vertAlign w:val="superscript"/>
              </w:rPr>
              <w:t>(1)</w:t>
            </w:r>
          </w:p>
        </w:tc>
      </w:tr>
      <w:tr>
        <w:trPr>
          <w:trHeight w:val="21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Period</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Shares Purchased</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color w:val="auto"/>
              </w:rPr>
              <w:t>Paid Per Share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or Programs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(in thousands)</w:t>
            </w:r>
          </w:p>
        </w:tc>
      </w:tr>
      <w:tr>
        <w:trPr>
          <w:trHeight w:val="19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 2025 to December 31, 2025</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497,544</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16.56</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497,544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28,024</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1, 2026 to January 31, 2026</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423,805</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19.59</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423,805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19,720</w:t>
            </w:r>
          </w:p>
        </w:tc>
      </w:tr>
      <w:tr>
        <w:trPr>
          <w:trHeight w:val="203"/>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February 1, 2026 to February 28, 2026</w:t>
            </w:r>
          </w:p>
        </w:tc>
        <w:tc>
          <w:tcPr>
            <w:tcW w:w="158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19,720</w:t>
            </w:r>
          </w:p>
        </w:tc>
      </w:tr>
      <w:tr>
        <w:trPr>
          <w:trHeight w:val="196"/>
        </w:trPr>
        <w:tc>
          <w:tcPr>
            <w:tcW w:w="46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r>
      <w:tr>
        <w:trPr>
          <w:trHeight w:val="243"/>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Common Shares</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921,349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921,349</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-290830</wp:posOffset>
            </wp:positionV>
            <wp:extent cx="94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-290830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-290830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946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95" w:lineRule="exact"/>
        <w:rPr>
          <w:sz w:val="20"/>
          <w:szCs w:val="20"/>
          <w:color w:val="auto"/>
        </w:rPr>
      </w:pPr>
    </w:p>
    <w:p>
      <w:pPr>
        <w:ind w:left="760" w:right="20" w:hanging="374"/>
        <w:spacing w:after="0" w:line="233" w:lineRule="auto"/>
        <w:tabs>
          <w:tab w:leader="none" w:pos="76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On April 18, 2024, our Board of Directors approved a plan to purchase up to $50.0 million of our outstanding common stock. On August 11, 2025, the Board of Directors approved a replenishment of the plan to purchase up to $50.0 million of common stock. On August 14, 2025 we initiated a 10b5-1 plan to purchase up to $10.0 million of our common stock through daily transactions. This 10b5-1 plan was completed in October 2025. On November 17, 2025, we initiated a new 10b5-1 plan to purchase up to $20.0 million of our common stock through daily transactions and this plan was completed in January 2026. In addition to shares repurchased under our repurchase plan, we also acquired approximately 25,000 shares of our common stock during the quarter from shares withheld for income taxes on stock-based compensation awards at an average price of $17.61 per share. These shares are not included in the table above.</w:t>
      </w:r>
    </w:p>
    <w:p>
      <w:pPr>
        <w:spacing w:after="0" w:line="201" w:lineRule="exact"/>
        <w:rPr>
          <w:rFonts w:ascii="Times New Roman" w:cs="Times New Roman" w:eastAsia="Times New Roman" w:hAnsi="Times New Roman"/>
          <w:sz w:val="27"/>
          <w:szCs w:val="27"/>
          <w:color w:val="auto"/>
          <w:vertAlign w:val="superscript"/>
        </w:rPr>
      </w:pPr>
    </w:p>
    <w:p>
      <w:pPr>
        <w:ind w:left="760" w:right="140"/>
        <w:spacing w:after="0" w:line="24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The actual timing, number, and value of common shares purchased under our plan will be determined at our discretion and will depend on a number of factors, including, among others, general market and business conditions, the trading price of our common shares, and applicable legal requirements. We have no obligation to purchase any common shares under the authorization, and the purchase plan may be suspended, discontinued, or modified at any time for any reason. The purchase price of the shares shown in table above includes the applicable 1% required excise tax.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Rule 10b5-1 Trading Arrangements</w:t>
      </w:r>
    </w:p>
    <w:p>
      <w:pPr>
        <w:spacing w:after="0" w:line="19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During the quarter ended February 28, 2026, none of our directors or executive officers adopted or terminated any “Rule 10b5-1 trading arrangement” or “non-Rule 10b5-1 trading arrangement” (as each item is defined Item 408(a) of Regulation S-K).</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6.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Exhibits:</w:t>
            </w:r>
          </w:p>
        </w:tc>
        <w:tc>
          <w:tcPr>
            <w:tcW w:w="0" w:type="dxa"/>
            <w:vAlign w:val="bottom"/>
          </w:tcPr>
          <w:p>
            <w:pPr>
              <w:spacing w:after="0"/>
              <w:rPr>
                <w:sz w:val="1"/>
                <w:szCs w:val="1"/>
                <w:color w:val="auto"/>
              </w:rPr>
            </w:pPr>
          </w:p>
        </w:tc>
      </w:tr>
      <w:tr>
        <w:trPr>
          <w:trHeight w:val="426"/>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w w:val="97"/>
              </w:rPr>
              <w:t>31.1</w:t>
            </w:r>
          </w:p>
        </w:tc>
        <w:tc>
          <w:tcPr>
            <w:tcW w:w="6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8"/>
              </w:rPr>
              <w:t>Rule 13a-14(a) Certifications of the Chief Executive Officer.</w:t>
            </w:r>
            <w:r>
              <w:rPr>
                <w:rFonts w:ascii="Times New Roman" w:cs="Times New Roman" w:eastAsia="Times New Roman" w:hAnsi="Times New Roman"/>
                <w:sz w:val="20"/>
                <w:szCs w:val="20"/>
                <w:color w:val="000000"/>
                <w:w w:val="98"/>
              </w:rPr>
              <w:t>*</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7"/>
              </w:rPr>
              <w:t>31.2</w:t>
            </w:r>
          </w:p>
        </w:tc>
        <w:tc>
          <w:tcPr>
            <w:tcW w:w="6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490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0000FF"/>
                <w:w w:val="99"/>
              </w:rPr>
              <w:t>Rule 13a-14(a) Certifications of the Chief Financial Officer.</w:t>
            </w:r>
            <w:r>
              <w:rPr>
                <w:rFonts w:ascii="Times New Roman" w:cs="Times New Roman" w:eastAsia="Times New Roman" w:hAnsi="Times New Roman"/>
                <w:sz w:val="20"/>
                <w:szCs w:val="20"/>
                <w:color w:val="000000"/>
                <w:w w:val="99"/>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020" w:hanging="1012"/>
        <w:spacing w:after="0"/>
        <w:tabs>
          <w:tab w:leader="none" w:pos="10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Section 1350 Certifications.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wp:posOffset>
            </wp:positionV>
            <wp:extent cx="1405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034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8"/>
              </w:rPr>
              <w:t>Inline XBRL Instance Document – the instance document does not appear in the Interactive Data File because its XBRL tags are</w:t>
            </w:r>
          </w:p>
        </w:tc>
      </w:tr>
      <w:tr>
        <w:trPr>
          <w:trHeight w:val="230"/>
        </w:trPr>
        <w:tc>
          <w:tcPr>
            <w:tcW w:w="880" w:type="dxa"/>
            <w:vAlign w:val="bottom"/>
          </w:tcPr>
          <w:p>
            <w:pPr>
              <w:spacing w:after="0"/>
              <w:rPr>
                <w:sz w:val="19"/>
                <w:szCs w:val="19"/>
                <w:color w:val="auto"/>
              </w:rPr>
            </w:pPr>
          </w:p>
        </w:tc>
        <w:tc>
          <w:tcPr>
            <w:tcW w:w="10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r>
      <w:tr>
        <w:trPr>
          <w:trHeight w:val="251"/>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0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bl>
    <w:p>
      <w:pPr>
        <w:ind w:left="1020" w:right="80" w:hanging="1012"/>
        <w:spacing w:after="0" w:line="246" w:lineRule="auto"/>
        <w:tabs>
          <w:tab w:leader="none" w:pos="10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for the Company's Quarterly Report on Form 10-Q has been formatted in Inline XBRL and contained in Exhibit 101.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w:t>
      </w:r>
    </w:p>
    <w:p>
      <w:pPr>
        <w:spacing w:after="0" w:line="18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20" w:type="dxa"/>
            <w:vAlign w:val="bottom"/>
          </w:tcPr>
          <w:p>
            <w:pPr>
              <w:spacing w:after="0"/>
              <w:rPr>
                <w:sz w:val="22"/>
                <w:szCs w:val="22"/>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20"/>
                <w:szCs w:val="20"/>
                <w:color w:val="auto"/>
              </w:rPr>
              <w:t>FRANKLIN COVEY CO.</w:t>
            </w:r>
          </w:p>
        </w:tc>
      </w:tr>
      <w:tr>
        <w:trPr>
          <w:trHeight w:val="45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Date: April 8, 2026</w:t>
            </w:r>
          </w:p>
        </w:tc>
        <w:tc>
          <w:tcPr>
            <w:tcW w:w="2460" w:type="dxa"/>
            <w:vAlign w:val="bottom"/>
          </w:tcPr>
          <w:p>
            <w:pPr>
              <w:ind w:left="202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Paul S. Walker</w:t>
            </w:r>
          </w:p>
        </w:tc>
      </w:tr>
      <w:tr>
        <w:trPr>
          <w:trHeight w:val="200"/>
        </w:trPr>
        <w:tc>
          <w:tcPr>
            <w:tcW w:w="36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Paul S. Walker</w:t>
            </w:r>
          </w:p>
        </w:tc>
      </w:tr>
      <w:tr>
        <w:trPr>
          <w:trHeight w:val="229"/>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58"/>
        </w:trPr>
        <w:tc>
          <w:tcPr>
            <w:tcW w:w="36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20"/>
                <w:szCs w:val="20"/>
                <w:color w:val="auto"/>
              </w:rPr>
              <w:t>(Duly Authorized Officer)</w:t>
            </w:r>
          </w:p>
        </w:tc>
      </w:tr>
      <w:tr>
        <w:trPr>
          <w:trHeight w:val="45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Date: April 8, 2026</w:t>
            </w:r>
          </w:p>
        </w:tc>
        <w:tc>
          <w:tcPr>
            <w:tcW w:w="2460" w:type="dxa"/>
            <w:vAlign w:val="bottom"/>
          </w:tcPr>
          <w:p>
            <w:pPr>
              <w:ind w:left="202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Jessica G. Betjemann</w:t>
            </w:r>
          </w:p>
        </w:tc>
      </w:tr>
      <w:tr>
        <w:trPr>
          <w:trHeight w:val="222"/>
        </w:trPr>
        <w:tc>
          <w:tcPr>
            <w:tcW w:w="36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Jessica G. Betjemann</w:t>
            </w:r>
          </w:p>
        </w:tc>
      </w:tr>
    </w:tbl>
    <w:p>
      <w:pPr>
        <w:ind w:left="6080"/>
        <w:spacing w:after="0"/>
        <w:rPr>
          <w:sz w:val="20"/>
          <w:szCs w:val="20"/>
          <w:color w:val="auto"/>
        </w:rPr>
      </w:pPr>
      <w:r>
        <w:rPr>
          <w:rFonts w:ascii="Times New Roman" w:cs="Times New Roman" w:eastAsia="Times New Roman" w:hAnsi="Times New Roman"/>
          <w:sz w:val="20"/>
          <w:szCs w:val="20"/>
          <w:color w:val="auto"/>
        </w:rPr>
        <w:t>Chief Financial Officer</w:t>
      </w:r>
    </w:p>
    <w:p>
      <w:pPr>
        <w:ind w:left="60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 Walker, certify that:</w:t>
      </w:r>
    </w:p>
    <w:p>
      <w:pPr>
        <w:spacing w:after="0" w:line="252" w:lineRule="exact"/>
        <w:rPr>
          <w:sz w:val="20"/>
          <w:szCs w:val="20"/>
          <w:color w:val="auto"/>
        </w:rPr>
      </w:pPr>
    </w:p>
    <w:p>
      <w:pPr>
        <w:ind w:left="960" w:hanging="232"/>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Franklin Covey Co.;</w:t>
      </w:r>
    </w:p>
    <w:p>
      <w:pPr>
        <w:spacing w:after="0" w:line="27" w:lineRule="exact"/>
        <w:rPr>
          <w:rFonts w:ascii="Times New Roman" w:cs="Times New Roman" w:eastAsia="Times New Roman" w:hAnsi="Times New Roman"/>
          <w:sz w:val="18"/>
          <w:szCs w:val="18"/>
          <w:color w:val="auto"/>
        </w:rPr>
      </w:pPr>
    </w:p>
    <w:p>
      <w:pPr>
        <w:jc w:val="both"/>
        <w:ind w:left="960" w:right="80" w:hanging="232"/>
        <w:spacing w:after="0" w:line="250"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60" w:right="40" w:hanging="232"/>
        <w:spacing w:after="0" w:line="250"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60" w:hanging="232"/>
        <w:spacing w:after="0" w:line="265"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 w:lineRule="exact"/>
        <w:rPr>
          <w:rFonts w:ascii="Times New Roman" w:cs="Times New Roman" w:eastAsia="Times New Roman" w:hAnsi="Times New Roman"/>
          <w:sz w:val="17"/>
          <w:szCs w:val="17"/>
          <w:color w:val="auto"/>
        </w:rPr>
      </w:pPr>
    </w:p>
    <w:p>
      <w:pPr>
        <w:ind w:left="1420" w:right="20" w:hanging="238"/>
        <w:spacing w:after="0" w:line="250"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420" w:right="20" w:hanging="248"/>
        <w:spacing w:after="0" w:line="250"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420" w:right="100" w:hanging="238"/>
        <w:spacing w:after="0" w:line="265" w:lineRule="auto"/>
        <w:tabs>
          <w:tab w:leader="none" w:pos="14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80" w:hanging="248"/>
        <w:spacing w:after="0" w:line="250"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60" w:right="140" w:hanging="232"/>
        <w:spacing w:after="0" w:line="265"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420" w:right="340" w:hanging="238"/>
        <w:spacing w:after="0" w:line="250"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0" w:hanging="248"/>
        <w:spacing w:after="0" w:line="260"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2026</w:t>
            </w:r>
          </w:p>
        </w:tc>
        <w:tc>
          <w:tcPr>
            <w:tcW w:w="2020" w:type="dxa"/>
            <w:vAlign w:val="bottom"/>
          </w:tcPr>
          <w:p>
            <w:pPr>
              <w:spacing w:after="0"/>
              <w:rPr>
                <w:sz w:val="20"/>
                <w:szCs w:val="20"/>
                <w:color w:val="auto"/>
              </w:rPr>
            </w:pPr>
          </w:p>
        </w:tc>
        <w:tc>
          <w:tcPr>
            <w:tcW w:w="5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S. Walker</w:t>
            </w:r>
          </w:p>
        </w:tc>
      </w:tr>
      <w:tr>
        <w:trPr>
          <w:trHeight w:val="191"/>
        </w:trPr>
        <w:tc>
          <w:tcPr>
            <w:tcW w:w="35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S. Walker</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G. Betjemann, certify that:</w:t>
      </w:r>
    </w:p>
    <w:p>
      <w:pPr>
        <w:spacing w:after="0" w:line="252" w:lineRule="exact"/>
        <w:rPr>
          <w:sz w:val="20"/>
          <w:szCs w:val="20"/>
          <w:color w:val="auto"/>
        </w:rPr>
      </w:pPr>
    </w:p>
    <w:p>
      <w:pPr>
        <w:ind w:left="960" w:hanging="2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Franklin Covey Co.;</w:t>
      </w:r>
    </w:p>
    <w:p>
      <w:pPr>
        <w:spacing w:after="0" w:line="27" w:lineRule="exact"/>
        <w:rPr>
          <w:rFonts w:ascii="Times New Roman" w:cs="Times New Roman" w:eastAsia="Times New Roman" w:hAnsi="Times New Roman"/>
          <w:sz w:val="18"/>
          <w:szCs w:val="18"/>
          <w:color w:val="auto"/>
        </w:rPr>
      </w:pPr>
    </w:p>
    <w:p>
      <w:pPr>
        <w:jc w:val="both"/>
        <w:ind w:left="960" w:right="80" w:hanging="232"/>
        <w:spacing w:after="0" w:line="250"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960" w:right="40" w:hanging="232"/>
        <w:spacing w:after="0" w:line="250"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60" w:hanging="232"/>
        <w:spacing w:after="0" w:line="265"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 w:lineRule="exact"/>
        <w:rPr>
          <w:rFonts w:ascii="Times New Roman" w:cs="Times New Roman" w:eastAsia="Times New Roman" w:hAnsi="Times New Roman"/>
          <w:sz w:val="17"/>
          <w:szCs w:val="17"/>
          <w:color w:val="auto"/>
        </w:rPr>
      </w:pPr>
    </w:p>
    <w:p>
      <w:pPr>
        <w:ind w:left="1540" w:right="120" w:hanging="236"/>
        <w:spacing w:after="0" w:line="25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180" w:hanging="246"/>
        <w:spacing w:after="0" w:line="25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236"/>
        <w:spacing w:after="0" w:line="25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360" w:hanging="246"/>
        <w:spacing w:after="0" w:line="25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960" w:right="140" w:hanging="232"/>
        <w:spacing w:after="0" w:line="265"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20" w:hanging="236"/>
        <w:spacing w:after="0" w:line="25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00" w:hanging="246"/>
        <w:spacing w:after="0" w:line="260"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2026</w:t>
            </w: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Jessica G. Betjemann</w:t>
            </w:r>
          </w:p>
        </w:tc>
      </w:tr>
      <w:tr>
        <w:trPr>
          <w:trHeight w:val="191"/>
        </w:trPr>
        <w:tc>
          <w:tcPr>
            <w:tcW w:w="5400" w:type="dxa"/>
            <w:vAlign w:val="bottom"/>
          </w:tcPr>
          <w:p>
            <w:pPr>
              <w:spacing w:after="0"/>
              <w:rPr>
                <w:sz w:val="16"/>
                <w:szCs w:val="16"/>
                <w:color w:val="auto"/>
              </w:rPr>
            </w:pPr>
          </w:p>
        </w:tc>
        <w:tc>
          <w:tcPr>
            <w:tcW w:w="5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Jessica G. Betjemann</w:t>
            </w:r>
          </w:p>
        </w:tc>
      </w:tr>
      <w:tr>
        <w:trPr>
          <w:trHeight w:val="234"/>
        </w:trPr>
        <w:tc>
          <w:tcPr>
            <w:tcW w:w="540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54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1"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Franklin Covey Co. (the “Company”) on Form 10-Q for the period ended February 28, 2026, as filed with the Securities and Exchange Commission (the “Report”), we, Paul S. Walker, President and Chief Executive Officer of the Company, and Jessica G. Betjemann, Chief Financial Officer of the Company, hereby certify as of the date hereof, solely for purposes of Title 18, Chapter 63, Section 1350 of the United States Code, that to the best of our knowledge:</w:t>
      </w:r>
    </w:p>
    <w:p>
      <w:pPr>
        <w:spacing w:after="0" w:line="207" w:lineRule="exact"/>
        <w:rPr>
          <w:sz w:val="20"/>
          <w:szCs w:val="20"/>
          <w:color w:val="auto"/>
        </w:rPr>
      </w:pPr>
    </w:p>
    <w:p>
      <w:pPr>
        <w:ind w:left="960" w:hanging="2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960" w:right="620" w:hanging="2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Paul S. Walker</w:t>
            </w:r>
          </w:p>
        </w:tc>
        <w:tc>
          <w:tcPr>
            <w:tcW w:w="1260" w:type="dxa"/>
            <w:vAlign w:val="bottom"/>
          </w:tcPr>
          <w:p>
            <w:pPr>
              <w:spacing w:after="0"/>
              <w:rPr>
                <w:sz w:val="22"/>
                <w:szCs w:val="22"/>
                <w:color w:val="auto"/>
              </w:rPr>
            </w:pPr>
          </w:p>
        </w:tc>
        <w:tc>
          <w:tcPr>
            <w:tcW w:w="4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Jessica G. Betjemann</w:t>
            </w:r>
          </w:p>
        </w:tc>
      </w:tr>
      <w:tr>
        <w:trPr>
          <w:trHeight w:val="171"/>
        </w:trPr>
        <w:tc>
          <w:tcPr>
            <w:tcW w:w="50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Paul S. Walker</w:t>
            </w:r>
          </w:p>
        </w:tc>
        <w:tc>
          <w:tcPr>
            <w:tcW w:w="1260" w:type="dxa"/>
            <w:vAlign w:val="bottom"/>
          </w:tcPr>
          <w:p>
            <w:pPr>
              <w:spacing w:after="0"/>
              <w:rPr>
                <w:sz w:val="14"/>
                <w:szCs w:val="14"/>
                <w:color w:val="auto"/>
              </w:rPr>
            </w:pPr>
          </w:p>
        </w:tc>
        <w:tc>
          <w:tcPr>
            <w:tcW w:w="49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Jessica G. Betjemann</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2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Date:April 8, 2026</w:t>
            </w:r>
          </w:p>
        </w:tc>
        <w:tc>
          <w:tcPr>
            <w:tcW w:w="62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Date: April 8, 2026</w:t>
            </w:r>
          </w:p>
        </w:tc>
      </w:tr>
      <w:tr>
        <w:trPr>
          <w:trHeight w:val="1843"/>
        </w:trPr>
        <w:tc>
          <w:tcPr>
            <w:tcW w:w="5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2"/>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2026-04-08T15:47:48Z</dcterms:created>
  <dcterms:modified xsi:type="dcterms:W3CDTF">2026-04-08T15:47:48Z</dcterms:modified>
</cp:coreProperties>
</file>