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32"/>
          <w:szCs w:val="32"/>
          <w:color w:val="auto"/>
        </w:rPr>
        <w:t>FORM 8-K</w:t>
      </w: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00" w:lineRule="exact"/>
        <w:rPr>
          <w:sz w:val="24"/>
          <w:szCs w:val="24"/>
          <w:color w:val="auto"/>
        </w:rPr>
      </w:pPr>
    </w:p>
    <w:p>
      <w:pPr>
        <w:spacing w:after="0" w:line="282"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Pursuant to Section 13 or 15(d) of</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The Securities Exchange Act of 1934</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Report (Date of Earliest Event Reported):</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October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149860</wp:posOffset>
            </wp:positionV>
            <wp:extent cx="2082800"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280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FRANKLIN COVEY CO.</w:t>
      </w:r>
    </w:p>
    <w:p>
      <w:pPr>
        <w:spacing w:after="0" w:line="259"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Commission File No. 1-11107</w:t>
      </w:r>
    </w:p>
    <w:p>
      <w:pPr>
        <w:sectPr>
          <w:pgSz w:w="11900" w:h="16838" w:orient="portrait"/>
          <w:cols w:equalWidth="0" w:num="1">
            <w:col w:w="11200"/>
          </w:cols>
          <w:pgMar w:left="320" w:top="1378" w:right="379" w:bottom="141" w:gutter="0" w:footer="0" w:header="0"/>
        </w:sectPr>
      </w:pPr>
    </w:p>
    <w:p>
      <w:pPr>
        <w:spacing w:after="0" w:line="200" w:lineRule="exact"/>
        <w:rPr>
          <w:sz w:val="24"/>
          <w:szCs w:val="24"/>
          <w:color w:val="auto"/>
        </w:rPr>
      </w:pPr>
    </w:p>
    <w:p>
      <w:pPr>
        <w:spacing w:after="0" w:line="283" w:lineRule="exact"/>
        <w:rPr>
          <w:sz w:val="24"/>
          <w:szCs w:val="24"/>
          <w:color w:val="auto"/>
        </w:rPr>
      </w:pPr>
    </w:p>
    <w:p>
      <w:pPr>
        <w:jc w:val="center"/>
        <w:ind w:left="1860"/>
        <w:spacing w:after="0"/>
        <w:rPr>
          <w:sz w:val="20"/>
          <w:szCs w:val="20"/>
          <w:color w:val="auto"/>
        </w:rPr>
      </w:pPr>
      <w:r>
        <w:rPr>
          <w:rFonts w:ascii="Arial" w:cs="Arial" w:eastAsia="Arial" w:hAnsi="Arial"/>
          <w:sz w:val="18"/>
          <w:szCs w:val="18"/>
          <w:color w:val="auto"/>
        </w:rPr>
        <w:t>Utah</w:t>
      </w:r>
    </w:p>
    <w:p>
      <w:pPr>
        <w:spacing w:after="0" w:line="23" w:lineRule="exact"/>
        <w:rPr>
          <w:sz w:val="24"/>
          <w:szCs w:val="24"/>
          <w:color w:val="auto"/>
        </w:rPr>
      </w:pPr>
    </w:p>
    <w:p>
      <w:pPr>
        <w:jc w:val="center"/>
        <w:ind w:left="18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jc w:val="center"/>
        <w:ind w:left="186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3" w:lineRule="exact"/>
        <w:rPr>
          <w:sz w:val="24"/>
          <w:szCs w:val="24"/>
          <w:color w:val="auto"/>
        </w:rPr>
      </w:pPr>
    </w:p>
    <w:p>
      <w:pPr>
        <w:jc w:val="center"/>
        <w:ind w:right="2220"/>
        <w:spacing w:after="0"/>
        <w:rPr>
          <w:sz w:val="20"/>
          <w:szCs w:val="20"/>
          <w:color w:val="auto"/>
        </w:rPr>
      </w:pPr>
      <w:r>
        <w:rPr>
          <w:rFonts w:ascii="Arial" w:cs="Arial" w:eastAsia="Arial" w:hAnsi="Arial"/>
          <w:sz w:val="18"/>
          <w:szCs w:val="18"/>
          <w:color w:val="auto"/>
        </w:rPr>
        <w:t>87-0401551</w:t>
      </w:r>
    </w:p>
    <w:p>
      <w:pPr>
        <w:spacing w:after="0" w:line="23" w:lineRule="exact"/>
        <w:rPr>
          <w:sz w:val="24"/>
          <w:szCs w:val="24"/>
          <w:color w:val="auto"/>
        </w:rPr>
      </w:pPr>
    </w:p>
    <w:p>
      <w:pPr>
        <w:jc w:val="center"/>
        <w:ind w:right="2220"/>
        <w:spacing w:after="0"/>
        <w:rPr>
          <w:sz w:val="20"/>
          <w:szCs w:val="20"/>
          <w:color w:val="auto"/>
        </w:rPr>
      </w:pPr>
      <w:r>
        <w:rPr>
          <w:rFonts w:ascii="Arial" w:cs="Arial" w:eastAsia="Arial" w:hAnsi="Arial"/>
          <w:sz w:val="16"/>
          <w:szCs w:val="16"/>
          <w:color w:val="auto"/>
        </w:rPr>
        <w:t>(IRS Employer Identification Number)</w:t>
      </w:r>
    </w:p>
    <w:p>
      <w:pPr>
        <w:spacing w:after="0" w:line="438" w:lineRule="exact"/>
        <w:rPr>
          <w:sz w:val="24"/>
          <w:szCs w:val="24"/>
          <w:color w:val="auto"/>
        </w:rPr>
      </w:pPr>
    </w:p>
    <w:p>
      <w:pPr>
        <w:sectPr>
          <w:pgSz w:w="11900" w:h="16838" w:orient="portrait"/>
          <w:cols w:equalWidth="0" w:num="2">
            <w:col w:w="5460" w:space="720"/>
            <w:col w:w="5020"/>
          </w:cols>
          <w:pgMar w:left="320" w:top="1378" w:right="379" w:bottom="141" w:gutter="0" w:footer="0" w:header="0"/>
          <w:type w:val="continuous"/>
        </w:sectPr>
      </w:pP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2200 West Parkway Boulevard</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Salt Lake City, Utah 84119-2099</w:t>
      </w:r>
    </w:p>
    <w:p>
      <w:pPr>
        <w:jc w:val="center"/>
        <w:ind w:right="-39"/>
        <w:spacing w:after="0"/>
        <w:rPr>
          <w:sz w:val="20"/>
          <w:szCs w:val="20"/>
          <w:color w:val="auto"/>
        </w:rPr>
      </w:pPr>
      <w:r>
        <w:rPr>
          <w:rFonts w:ascii="Arial" w:cs="Arial" w:eastAsia="Arial" w:hAnsi="Arial"/>
          <w:sz w:val="22"/>
          <w:szCs w:val="22"/>
          <w:color w:val="auto"/>
        </w:rPr>
        <w:t>(Address of principal executive offices)(Zip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(801) 817-1776</w:t>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 xml:space="preserve">Former name or former address, if changed since last report: </w:t>
      </w:r>
      <w:r>
        <w:rPr>
          <w:rFonts w:ascii="Arial" w:cs="Arial" w:eastAsia="Arial" w:hAnsi="Arial"/>
          <w:sz w:val="22"/>
          <w:szCs w:val="22"/>
          <w:b w:val="1"/>
          <w:bCs w:val="1"/>
          <w:color w:val="auto"/>
        </w:rPr>
        <w:t>Not Applicable</w:t>
      </w:r>
    </w:p>
    <w:p>
      <w:pPr>
        <w:spacing w:after="0" w:line="14" w:lineRule="exact"/>
        <w:rPr>
          <w:sz w:val="24"/>
          <w:szCs w:val="24"/>
          <w:color w:val="auto"/>
        </w:rPr>
      </w:pPr>
    </w:p>
    <w:p>
      <w:pPr>
        <w:ind w:left="4440"/>
        <w:spacing w:after="0"/>
        <w:rPr>
          <w:sz w:val="20"/>
          <w:szCs w:val="20"/>
          <w:color w:val="auto"/>
        </w:rPr>
      </w:pPr>
      <w:r>
        <w:rPr>
          <w:rFonts w:ascii="Arial" w:cs="Arial" w:eastAsia="Arial" w:hAnsi="Arial"/>
          <w:sz w:val="22"/>
          <w:szCs w:val="22"/>
          <w:color w:val="auto"/>
        </w:rPr>
        <w:t>______________________</w:t>
      </w:r>
    </w:p>
    <w:p>
      <w:pPr>
        <w:spacing w:after="0" w:line="21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Pre-commencement communications pursuant to Rule 14d-2(b) under the Exchange Act (17 CFR 240.14d-2(b))</w:t>
      </w:r>
    </w:p>
    <w:p>
      <w:pPr>
        <w:spacing w:after="0" w:line="233"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Pre-commencement communications pursuant to Rule 13e-4(c) under the Exchange Act (17 CFR 240.13e-4(c))</w:t>
      </w:r>
    </w:p>
    <w:p>
      <w:pPr>
        <w:spacing w:after="0" w:line="233" w:lineRule="exact"/>
        <w:rPr>
          <w:sz w:val="24"/>
          <w:szCs w:val="24"/>
          <w:color w:val="auto"/>
        </w:rPr>
      </w:pPr>
    </w:p>
    <w:p>
      <w:pPr>
        <w:ind w:right="260"/>
        <w:spacing w:after="0"/>
        <w:rPr>
          <w:sz w:val="20"/>
          <w:szCs w:val="20"/>
          <w:color w:val="auto"/>
        </w:rPr>
      </w:pPr>
      <w:r>
        <w:rPr>
          <w:rFonts w:ascii="Arial" w:cs="Arial" w:eastAsia="Arial" w:hAnsi="Arial"/>
          <w:sz w:val="22"/>
          <w:szCs w:val="22"/>
          <w:color w:val="auto"/>
        </w:rPr>
        <w:t>Indicate by check mark whether the registrant is an emerging growth company as defined in as defined in [</w:t>
      </w:r>
      <w:r>
        <w:rPr>
          <w:rFonts w:ascii="Arial" w:cs="Arial" w:eastAsia="Arial" w:hAnsi="Arial"/>
          <w:sz w:val="22"/>
          <w:szCs w:val="22"/>
          <w:i w:val="1"/>
          <w:iCs w:val="1"/>
          <w:color w:val="auto"/>
        </w:rPr>
        <w:t>sic</w:t>
      </w:r>
      <w:r>
        <w:rPr>
          <w:rFonts w:ascii="Arial" w:cs="Arial" w:eastAsia="Arial" w:hAnsi="Arial"/>
          <w:sz w:val="22"/>
          <w:szCs w:val="22"/>
          <w:color w:val="auto"/>
        </w:rPr>
        <w:t>] Rule 405 of the Securities Act of 1933 (§ 230.405 of this chapter) or Rule 12b-2 of the Securities Exchange Act of 1934 (§ 240.12b-2 of this chapter).</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Emerging growth company □</w:t>
      </w:r>
    </w:p>
    <w:p>
      <w:pPr>
        <w:spacing w:after="0" w:line="233" w:lineRule="exact"/>
        <w:rPr>
          <w:sz w:val="24"/>
          <w:szCs w:val="24"/>
          <w:color w:val="auto"/>
        </w:rPr>
      </w:pPr>
    </w:p>
    <w:p>
      <w:pPr>
        <w:ind w:right="100"/>
        <w:spacing w:after="0" w:line="328"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378" w:right="379" w:bottom="141"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Franklin Covey Co. (NYSE: FC), a leader in organizational performance improvement, announced today that the conference call to review the Company’s fourth-quarter and full-year fiscal 2020 financial results will take place on Thursday, November 5, 2020 at 5:00 p.m. ET (3:00 p.m. MT). The Company’s financial results are expected to be released after the close of the market on Thursday, November 5, 2020.</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Interested persons can participate by dialing 800-446-2782 (International participants may dial 847-413-3235), access code: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49992976. Alternatively, a webcast will be accessible at the following website https://edge.media-server.com/mmc/p/idnvz4jm.</w:t>
      </w:r>
    </w:p>
    <w:p>
      <w:pPr>
        <w:spacing w:after="0" w:line="250"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The webcast will be available starting November 5, 2020 (7:30 p.m. ET) through November 19, 2020 on the Investor Relations area of the Company’s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1487805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8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FRANKLIN COVEY CO.</w:t>
      </w:r>
    </w:p>
    <w:p>
      <w:pPr>
        <w:spacing w:after="0" w:line="200" w:lineRule="exact"/>
        <w:rPr>
          <w:sz w:val="20"/>
          <w:szCs w:val="20"/>
          <w:color w:val="auto"/>
        </w:rPr>
      </w:pPr>
    </w:p>
    <w:p>
      <w:pPr>
        <w:spacing w:after="0" w:line="241" w:lineRule="exact"/>
        <w:rPr>
          <w:sz w:val="20"/>
          <w:szCs w:val="20"/>
          <w:color w:val="auto"/>
        </w:rPr>
      </w:pPr>
    </w:p>
    <w:p>
      <w:pPr>
        <w:ind w:left="2540"/>
        <w:spacing w:after="0"/>
        <w:tabs>
          <w:tab w:leader="none" w:pos="3160" w:val="left"/>
          <w:tab w:leader="none" w:pos="5900" w:val="left"/>
          <w:tab w:leader="none" w:pos="6640" w:val="left"/>
        </w:tabs>
        <w:rPr>
          <w:sz w:val="20"/>
          <w:szCs w:val="20"/>
          <w:color w:val="auto"/>
        </w:rPr>
      </w:pPr>
      <w:r>
        <w:rPr>
          <w:rFonts w:ascii="Arial" w:cs="Arial" w:eastAsia="Arial" w:hAnsi="Arial"/>
          <w:sz w:val="18"/>
          <w:szCs w:val="18"/>
          <w:color w:val="auto"/>
        </w:rPr>
        <w:t>Date:</w:t>
        <w:tab/>
        <w:t>October 22,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D.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14605</wp:posOffset>
            </wp:positionV>
            <wp:extent cx="10541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4100" cy="171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14605</wp:posOffset>
            </wp:positionV>
            <wp:extent cx="14230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D. Young</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160"/>
      </w:cols>
      <w:pgMar w:left="320" w:top="35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2020-10-22T15:45:42Z</dcterms:created>
  <dcterms:modified xsi:type="dcterms:W3CDTF">2020-10-22T15:45:42Z</dcterms:modified>
</cp:coreProperties>
</file>