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fc-20260531.htm"/>
        <w:bookmarkStart w:id="1" w:name="ksfc202605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Heading1"/>
        <w:bidi w:val="0"/>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For the quarterly period ended May 31, 2026</w:t>
      </w:r>
    </w:p>
    <w:p>
      <w:pPr>
        <w:pStyle w:val="TextBody"/>
        <w:bidi w:val="0"/>
        <w:spacing w:before="60" w:after="60"/>
        <w:jc w:val="left"/>
        <w:rPr>
          <w:rFonts w:ascii="Times New Roman" w:hAnsi="Times New Roman"/>
          <w:b/>
          <w:caps/>
          <w:color w:val="000000"/>
          <w:sz w:val="20"/>
        </w:rPr>
      </w:pPr>
      <w:r>
        <w:rPr>
          <w:rFonts w:ascii="Times New Roman" w:hAnsi="Times New Roman"/>
          <w:b/>
          <w:caps/>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 the transition period from __________ to 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001-11107</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20764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371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FRANKLIN COVEY CO.</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768" w:type="dxa"/>
        <w:jc w:val="left"/>
        <w:tblInd w:w="0" w:type="dxa"/>
        <w:tblLayout w:type="fixed"/>
        <w:tblCellMar>
          <w:top w:w="28" w:type="dxa"/>
          <w:left w:w="28" w:type="dxa"/>
          <w:bottom w:w="28" w:type="dxa"/>
          <w:right w:w="28" w:type="dxa"/>
        </w:tblCellMar>
      </w:tblPr>
      <w:tblGrid>
        <w:gridCol w:w="3376"/>
        <w:gridCol w:w="146"/>
        <w:gridCol w:w="12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Utah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87-0401551</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(State or other jurisdiction of </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(I.R.S. Employer </w:t>
              <w:br/>
              <w:t>Identification No.)</w:t>
            </w:r>
          </w:p>
        </w:tc>
      </w:tr>
      <w:tr>
        <w:trPr/>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13907 South Minuteman Dr.,</w:t>
            </w:r>
            <w:r>
              <w:rPr>
                <w:rFonts w:ascii="Times New Roman" w:hAnsi="Times New Roman"/>
                <w:color w:val="000000"/>
                <w:sz w:val="20"/>
              </w:rPr>
              <w:t xml:space="preserve"> </w:t>
            </w:r>
            <w:r>
              <w:rPr>
                <w:rFonts w:ascii="Times New Roman" w:hAnsi="Times New Roman"/>
                <w:b/>
                <w:color w:val="000000"/>
                <w:sz w:val="20"/>
              </w:rPr>
              <w:t>Suite 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Draper, Utah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84020</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(801) 817-1776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2476"/>
        <w:gridCol w:w="146"/>
        <w:gridCol w:w="1456"/>
        <w:gridCol w:w="146"/>
        <w:gridCol w:w="3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$0.05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947" w:type="dxa"/>
        <w:jc w:val="left"/>
        <w:tblInd w:w="0" w:type="dxa"/>
        <w:tblLayout w:type="fixed"/>
        <w:tblCellMar>
          <w:top w:w="28" w:type="dxa"/>
          <w:left w:w="28" w:type="dxa"/>
          <w:bottom w:w="28" w:type="dxa"/>
          <w:right w:w="28" w:type="dxa"/>
        </w:tblCellMar>
      </w:tblPr>
      <w:tblGrid>
        <w:gridCol w:w="2401"/>
        <w:gridCol w:w="146"/>
        <w:gridCol w:w="316"/>
        <w:gridCol w:w="146"/>
        <w:gridCol w:w="2431"/>
        <w:gridCol w:w="146"/>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the number of shares outstanding of each of the issuer’s classes of common stock as of the latest practicable date:</w:t>
      </w:r>
    </w:p>
    <w:p>
      <w:pPr>
        <w:pStyle w:val="TextBody"/>
        <w:bidi w:val="0"/>
        <w:spacing w:before="60" w:after="283"/>
        <w:jc w:val="center"/>
        <w:rPr>
          <w:rFonts w:ascii="Times New Roman" w:hAnsi="Times New Roman"/>
          <w:sz w:val="20"/>
        </w:rPr>
      </w:pPr>
      <w:r>
        <w:rPr>
          <w:rFonts w:ascii="Times New Roman" w:hAnsi="Times New Roman"/>
          <w:color w:val="000000"/>
          <w:sz w:val="19"/>
        </w:rPr>
        <w:t>11,293,873</w:t>
      </w:r>
      <w:r>
        <w:rPr>
          <w:rFonts w:ascii="Times New Roman" w:hAnsi="Times New Roman"/>
          <w:color w:val="000000"/>
          <w:sz w:val="20"/>
        </w:rPr>
        <w:t xml:space="preserve"> </w:t>
      </w:r>
      <w:r>
        <w:rPr>
          <w:rFonts w:ascii="Times New Roman" w:hAnsi="Times New Roman"/>
          <w:color w:val="000000"/>
          <w:sz w:val="19"/>
        </w:rPr>
        <w:t>shares of common stock, $0.05 par value per share, as of June 30, 2026</w:t>
      </w:r>
    </w:p>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2"/>
        </w:rPr>
      </w:pPr>
      <w:bookmarkStart w:id="2" w:name="toc_page"/>
      <w:bookmarkEnd w:id="2"/>
      <w:r>
        <w:rPr>
          <w:rFonts w:ascii="Times New Roman" w:hAnsi="Times New Roman"/>
          <w:b/>
          <w:color w:val="000000"/>
          <w:sz w:val="22"/>
        </w:rPr>
        <w:t>Table of Contents</w:t>
      </w:r>
    </w:p>
    <w:p>
      <w:pPr>
        <w:pStyle w:val="TextBody"/>
        <w:bidi w:val="0"/>
        <w:jc w:val="left"/>
        <w:rPr/>
      </w:pPr>
      <w:r>
        <w:rPr/>
        <w:t> </w:t>
      </w:r>
    </w:p>
    <w:tbl>
      <w:tblPr>
        <w:tblW w:w="7848" w:type="dxa"/>
        <w:jc w:val="left"/>
        <w:tblInd w:w="0" w:type="dxa"/>
        <w:tblLayout w:type="fixed"/>
        <w:tblCellMar>
          <w:top w:w="28" w:type="dxa"/>
          <w:left w:w="28" w:type="dxa"/>
          <w:bottom w:w="28" w:type="dxa"/>
          <w:right w:w="28" w:type="dxa"/>
        </w:tblCellMar>
      </w:tblPr>
      <w:tblGrid>
        <w:gridCol w:w="856"/>
        <w:gridCol w:w="6496"/>
        <w:gridCol w:w="496"/>
      </w:tblGrid>
      <w:tr>
        <w:trPr/>
        <w:tc>
          <w:tcPr>
            <w:tcW w:w="856"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Page</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18"/>
              </w:rPr>
            </w:pPr>
            <w:r>
              <w:rPr>
                <w:rFonts w:ascii="Times New Roman" w:hAnsi="Times New Roman"/>
                <w:b/>
                <w:caps/>
                <w:color w:val="000000"/>
                <w:sz w:val="18"/>
              </w:rPr>
              <w:t>Part I.</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parti_financial_information">
              <w:r>
                <w:rPr>
                  <w:rStyle w:val="InternetLink"/>
                  <w:rFonts w:ascii="Times New Roman" w:hAnsi="Times New Roman"/>
                  <w:caps/>
                  <w:color w:val="0000FF"/>
                  <w:sz w:val="18"/>
                  <w:u w:val="single"/>
                </w:rPr>
                <w:t>Financial Information</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1_financial_statements">
              <w:r>
                <w:rPr>
                  <w:rStyle w:val="InternetLink"/>
                  <w:rFonts w:ascii="Times New Roman" w:hAnsi="Times New Roman"/>
                  <w:color w:val="0000FF"/>
                  <w:sz w:val="18"/>
                  <w:u w:val="single"/>
                </w:rPr>
                <w:t>Financial Statements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18"/>
                  <w:u w:val="single"/>
                </w:rPr>
                <w:t>Condensed Consolidated Balance Sheets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18"/>
                  <w:u w:val="single"/>
                </w:rPr>
                <w:t>Condensed Consolidated Statements of Operations</w:t>
              </w:r>
            </w:hyperlink>
            <w:r>
              <w:rPr>
                <w:rFonts w:ascii="Times New Roman" w:hAnsi="Times New Roman"/>
                <w:color w:val="000000"/>
                <w:sz w:val="18"/>
              </w:rPr>
              <w:t xml:space="preserve">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18"/>
                  <w:u w:val="single"/>
                </w:rPr>
                <w:t>Condensed Consolidated Statements of Cash Flows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18"/>
                  <w:u w:val="single"/>
                </w:rPr>
                <w:t>Condensed Consolidated Statements of Changes In Shareholders’ Equity</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mt">
              <w:r>
                <w:rPr>
                  <w:rStyle w:val="InternetLink"/>
                  <w:rFonts w:ascii="Times New Roman" w:hAnsi="Times New Roman"/>
                  <w:color w:val="0000FF"/>
                  <w:sz w:val="18"/>
                  <w:u w:val="single"/>
                </w:rPr>
                <w:t>Notes to Condensed Consolidated Financial Statements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18"/>
                  <w:u w:val="single"/>
                </w:rPr>
                <w:t>Management’s Discussion and Analysis of Financial Condition and Results of Operations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18"/>
                  <w:u w:val="single"/>
                </w:rPr>
                <w:t>Quantitative and Qualitative Disclosures About Market Risk</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Item 4. </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18"/>
                  <w:u w:val="single"/>
                </w:rPr>
                <w:t>Controls and Procedures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18"/>
              </w:rPr>
            </w:pPr>
            <w:r>
              <w:rPr>
                <w:rFonts w:ascii="Times New Roman" w:hAnsi="Times New Roman"/>
                <w:b/>
                <w:caps/>
                <w:color w:val="000000"/>
                <w:sz w:val="18"/>
              </w:rPr>
              <w:t>Part Ii.</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caps/>
                  <w:color w:val="0000FF"/>
                  <w:sz w:val="18"/>
                  <w:u w:val="single"/>
                </w:rPr>
                <w:t>Other Information</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18"/>
                  <w:u w:val="single"/>
                </w:rPr>
                <w:t>Legal Proceedings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18"/>
                  <w:u w:val="single"/>
                </w:rPr>
                <w:t>Risk Factors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2_unregistered_sales_of_equity">
              <w:r>
                <w:rPr>
                  <w:rStyle w:val="InternetLink"/>
                  <w:rFonts w:ascii="Times New Roman" w:hAnsi="Times New Roman"/>
                  <w:color w:val="0000FF"/>
                  <w:sz w:val="18"/>
                  <w:u w:val="single"/>
                </w:rPr>
                <w:t>Unregistered Sales Of Equity Securities And Use Of Proceeds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18"/>
                  <w:u w:val="single"/>
                </w:rPr>
                <w:t>Other Information</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649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18"/>
                  <w:u w:val="single"/>
                </w:rPr>
                <w:t>Exhibits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r>
      <w:tr>
        <w:trPr/>
        <w:tc>
          <w:tcPr>
            <w:tcW w:w="735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 w:name="parti_financial_information"/>
      <w:bookmarkEnd w:id="3"/>
      <w:r>
        <w:rPr>
          <w:rFonts w:ascii="Times New Roman" w:hAnsi="Times New Roman"/>
          <w:color w:val="000000"/>
          <w:sz w:val="22"/>
        </w:rPr>
        <w:t>PART I. FINANCIAL</w:t>
      </w:r>
      <w:r>
        <w:rPr>
          <w:rFonts w:ascii="Times New Roman" w:hAnsi="Times New Roman"/>
          <w:color w:val="000000"/>
          <w:sz w:val="20"/>
        </w:rPr>
        <w:t xml:space="preserve"> </w:t>
      </w:r>
      <w:r>
        <w:rPr>
          <w:rFonts w:ascii="Times New Roman" w:hAnsi="Times New Roman"/>
          <w:color w:val="000000"/>
          <w:sz w:val="22"/>
        </w:rPr>
        <w:t>INFORMATION</w:t>
      </w:r>
    </w:p>
    <w:p>
      <w:pPr>
        <w:pStyle w:val="TextBody"/>
        <w:bidi w:val="0"/>
        <w:jc w:val="left"/>
        <w:rPr>
          <w:rFonts w:ascii="Times New Roman" w:hAnsi="Times New Roman"/>
          <w:color w:val="000000"/>
          <w:sz w:val="22"/>
        </w:rPr>
      </w:pPr>
      <w:bookmarkStart w:id="4" w:name="item1_financial_statements"/>
      <w:bookmarkEnd w:id="4"/>
      <w:r>
        <w:rPr>
          <w:rFonts w:ascii="Times New Roman" w:hAnsi="Times New Roman"/>
          <w:color w:val="000000"/>
          <w:sz w:val="22"/>
        </w:rPr>
        <w:t>ITEM 1. FINANCIAL STATEMENTS</w:t>
      </w:r>
    </w:p>
    <w:p>
      <w:pPr>
        <w:pStyle w:val="TextBody"/>
        <w:bidi w:val="0"/>
        <w:spacing w:before="220" w:after="283"/>
        <w:jc w:val="center"/>
        <w:rPr>
          <w:rFonts w:ascii="Times New Roman" w:hAnsi="Times New Roman"/>
          <w:color w:val="000000"/>
          <w:sz w:val="22"/>
          <w:u w:val="single"/>
        </w:rPr>
      </w:pPr>
      <w:r>
        <w:rPr>
          <w:rFonts w:ascii="Times New Roman" w:hAnsi="Times New Roman"/>
          <w:color w:val="000000"/>
          <w:sz w:val="22"/>
          <w:u w:val="single"/>
        </w:rPr>
        <w:t>FRANKLIN COVEY CO.</w:t>
      </w:r>
    </w:p>
    <w:p>
      <w:pPr>
        <w:pStyle w:val="Heading2"/>
        <w:bidi w:val="0"/>
        <w:spacing w:before="220" w:after="283"/>
        <w:jc w:val="center"/>
        <w:rPr>
          <w:rFonts w:ascii="Times New Roman" w:hAnsi="Times New Roman"/>
          <w:b w:val="false"/>
          <w:color w:val="000000"/>
          <w:sz w:val="22"/>
          <w:u w:val="single"/>
        </w:rPr>
      </w:pPr>
      <w:bookmarkStart w:id="5" w:name="balance_sheets"/>
      <w:bookmarkEnd w:id="5"/>
      <w:r>
        <w:rPr>
          <w:rFonts w:ascii="Times New Roman" w:hAnsi="Times New Roman"/>
          <w:b w:val="false"/>
          <w:color w:val="000000"/>
          <w:sz w:val="22"/>
          <w:u w:val="single"/>
        </w:rPr>
        <w:t>CONDENSED CONSOLIDATED BALANCE SHEETS</w:t>
      </w:r>
    </w:p>
    <w:p>
      <w:pPr>
        <w:pStyle w:val="TextBody"/>
        <w:bidi w:val="0"/>
        <w:jc w:val="center"/>
        <w:rPr>
          <w:rFonts w:ascii="Times New Roman" w:hAnsi="Times New Roman"/>
          <w:color w:val="000000"/>
          <w:sz w:val="18"/>
        </w:rPr>
      </w:pPr>
      <w:r>
        <w:rPr>
          <w:rFonts w:ascii="Times New Roman" w:hAnsi="Times New Roman"/>
          <w:color w:val="000000"/>
          <w:sz w:val="18"/>
        </w:rPr>
        <w:t>(in thousands, except per-share amounts)</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6021"/>
        <w:gridCol w:w="446"/>
        <w:gridCol w:w="196"/>
        <w:gridCol w:w="146"/>
        <w:gridCol w:w="751"/>
        <w:gridCol w:w="166"/>
        <w:gridCol w:w="146"/>
        <w:gridCol w:w="196"/>
        <w:gridCol w:w="146"/>
        <w:gridCol w:w="754"/>
        <w:gridCol w:w="511"/>
      </w:tblGrid>
      <w:tr>
        <w:trPr/>
        <w:tc>
          <w:tcPr>
            <w:tcW w:w="60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less allowance for credit losses of $2,091</w:t>
            </w:r>
            <w:r>
              <w:rPr>
                <w:rFonts w:ascii="Times New Roman" w:hAnsi="Times New Roman"/>
                <w:color w:val="000000"/>
                <w:sz w:val="20"/>
              </w:rPr>
              <w:t> </w:t>
            </w:r>
            <w:r>
              <w:rPr>
                <w:rFonts w:ascii="Times New Roman" w:hAnsi="Times New Roman"/>
                <w:color w:val="000000"/>
                <w:sz w:val="18"/>
              </w:rPr>
              <w:t>and $2,929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24,199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129,477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Intangible assets,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Goodwill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income tax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long-term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242,912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AND SHAREHOLDERS’ EQUITY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notes payable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106,534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Customer deposits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income tax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176,001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$0.05</w:t>
            </w:r>
            <w:r>
              <w:rPr>
                <w:rFonts w:ascii="Times New Roman" w:hAnsi="Times New Roman"/>
                <w:color w:val="000000"/>
                <w:sz w:val="20"/>
              </w:rPr>
              <w:t> </w:t>
            </w:r>
            <w:r>
              <w:rPr>
                <w:rFonts w:ascii="Times New Roman" w:hAnsi="Times New Roman"/>
                <w:color w:val="000000"/>
                <w:sz w:val="18"/>
              </w:rPr>
              <w:t>par value; 40,000</w:t>
            </w:r>
            <w:r>
              <w:rPr>
                <w:rFonts w:ascii="Times New Roman" w:hAnsi="Times New Roman"/>
                <w:color w:val="000000"/>
                <w:sz w:val="20"/>
              </w:rPr>
              <w:t> </w:t>
            </w:r>
            <w:r>
              <w:rPr>
                <w:rFonts w:ascii="Times New Roman" w:hAnsi="Times New Roman"/>
                <w:color w:val="000000"/>
                <w:sz w:val="18"/>
              </w:rPr>
              <w:t>shares authorized, 27,056</w:t>
            </w:r>
            <w:r>
              <w:rPr>
                <w:rFonts w:ascii="Times New Roman" w:hAnsi="Times New Roman"/>
                <w:color w:val="000000"/>
                <w:sz w:val="20"/>
              </w:rPr>
              <w:t> </w:t>
            </w:r>
            <w:r>
              <w:rPr>
                <w:rFonts w:ascii="Times New Roman" w:hAnsi="Times New Roman"/>
                <w:color w:val="000000"/>
                <w:sz w:val="18"/>
              </w:rPr>
              <w:t>shares issued</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 at cost, 15,756</w:t>
            </w:r>
            <w:r>
              <w:rPr>
                <w:rFonts w:ascii="Times New Roman" w:hAnsi="Times New Roman"/>
                <w:color w:val="000000"/>
                <w:sz w:val="20"/>
              </w:rPr>
              <w:t> </w:t>
            </w:r>
            <w:r>
              <w:rPr>
                <w:rFonts w:ascii="Times New Roman" w:hAnsi="Times New Roman"/>
                <w:color w:val="000000"/>
                <w:sz w:val="18"/>
              </w:rPr>
              <w:t>shares and 14,565</w:t>
            </w:r>
            <w:r>
              <w:rPr>
                <w:rFonts w:ascii="Times New Roman" w:hAnsi="Times New Roman"/>
                <w:color w:val="000000"/>
                <w:sz w:val="20"/>
              </w:rPr>
              <w:t> </w:t>
            </w:r>
            <w:r>
              <w:rPr>
                <w:rFonts w:ascii="Times New Roman" w:hAnsi="Times New Roman"/>
                <w:color w:val="000000"/>
                <w:sz w:val="18"/>
              </w:rPr>
              <w:t>shares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(289,933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shareholders’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66,911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242,912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FRANKLIN COVEY CO.</w:t>
      </w:r>
    </w:p>
    <w:p>
      <w:pPr>
        <w:pStyle w:val="Heading2"/>
        <w:bidi w:val="0"/>
        <w:spacing w:before="220" w:after="283"/>
        <w:jc w:val="center"/>
        <w:rPr>
          <w:rFonts w:ascii="Times New Roman" w:hAnsi="Times New Roman"/>
          <w:sz w:val="20"/>
        </w:rPr>
      </w:pPr>
      <w:bookmarkStart w:id="6" w:name="statements_of_operations"/>
      <w:bookmarkEnd w:id="6"/>
      <w:r>
        <w:rPr>
          <w:rFonts w:ascii="Times New Roman" w:hAnsi="Times New Roman"/>
          <w:b w:val="false"/>
          <w:color w:val="000000"/>
          <w:sz w:val="22"/>
          <w:u w:val="single"/>
        </w:rPr>
        <w:t>CONDENSED CONSOLIDATED STATEMENTS OF OPERATIONS AND STATEMENTS</w:t>
      </w:r>
      <w:r>
        <w:rPr>
          <w:rFonts w:ascii="Times New Roman" w:hAnsi="Times New Roman"/>
          <w:color w:val="000000"/>
          <w:sz w:val="20"/>
        </w:rPr>
        <w:t xml:space="preserve"> </w:t>
      </w:r>
    </w:p>
    <w:p>
      <w:pPr>
        <w:pStyle w:val="Heading2"/>
        <w:bidi w:val="0"/>
        <w:jc w:val="center"/>
        <w:rPr>
          <w:rFonts w:ascii="Times New Roman" w:hAnsi="Times New Roman"/>
          <w:b w:val="false"/>
          <w:color w:val="000000"/>
          <w:sz w:val="22"/>
          <w:u w:val="single"/>
        </w:rPr>
      </w:pPr>
      <w:r>
        <w:rPr>
          <w:rFonts w:ascii="Times New Roman" w:hAnsi="Times New Roman"/>
          <w:b w:val="false"/>
          <w:color w:val="000000"/>
          <w:sz w:val="22"/>
          <w:u w:val="single"/>
        </w:rPr>
        <w:t>OF COMPREHENSIVE INCOME (LOSS)</w:t>
      </w:r>
    </w:p>
    <w:p>
      <w:pPr>
        <w:pStyle w:val="TextBody"/>
        <w:bidi w:val="0"/>
        <w:jc w:val="center"/>
        <w:rPr>
          <w:rFonts w:ascii="Times New Roman" w:hAnsi="Times New Roman"/>
          <w:color w:val="000000"/>
          <w:sz w:val="18"/>
        </w:rPr>
      </w:pPr>
      <w:r>
        <w:rPr>
          <w:rFonts w:ascii="Times New Roman" w:hAnsi="Times New Roman"/>
          <w:color w:val="000000"/>
          <w:sz w:val="18"/>
        </w:rPr>
        <w:t>(in thousands, except per-share amounts)</w:t>
      </w:r>
    </w:p>
    <w:p>
      <w:pPr>
        <w:pStyle w:val="TextBody"/>
        <w:bidi w:val="0"/>
        <w:jc w:val="left"/>
        <w:rPr/>
      </w:pPr>
      <w:r>
        <w:rPr/>
        <w:t> </w:t>
      </w:r>
    </w:p>
    <w:tbl>
      <w:tblPr>
        <w:tblW w:w="10001" w:type="dxa"/>
        <w:jc w:val="left"/>
        <w:tblInd w:w="0" w:type="dxa"/>
        <w:tblLayout w:type="fixed"/>
        <w:tblCellMar>
          <w:top w:w="28" w:type="dxa"/>
          <w:left w:w="28" w:type="dxa"/>
          <w:bottom w:w="28" w:type="dxa"/>
          <w:right w:w="28" w:type="dxa"/>
        </w:tblCellMar>
      </w:tblPr>
      <w:tblGrid>
        <w:gridCol w:w="4556"/>
        <w:gridCol w:w="246"/>
        <w:gridCol w:w="196"/>
        <w:gridCol w:w="146"/>
        <w:gridCol w:w="601"/>
        <w:gridCol w:w="166"/>
        <w:gridCol w:w="146"/>
        <w:gridCol w:w="196"/>
        <w:gridCol w:w="146"/>
        <w:gridCol w:w="601"/>
        <w:gridCol w:w="166"/>
        <w:gridCol w:w="146"/>
        <w:gridCol w:w="196"/>
        <w:gridCol w:w="146"/>
        <w:gridCol w:w="691"/>
        <w:gridCol w:w="166"/>
        <w:gridCol w:w="146"/>
        <w:gridCol w:w="196"/>
        <w:gridCol w:w="146"/>
        <w:gridCol w:w="691"/>
        <w:gridCol w:w="311"/>
      </w:tblGrid>
      <w:tr>
        <w:trPr/>
        <w:tc>
          <w:tcPr>
            <w:tcW w:w="45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195,819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138,468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 exit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(loss) from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(loss) before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(provision)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 and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common shares: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currency translation adjustments, net of income taxes</w:t>
              <w:br/>
              <w:t>   of $0, $0, $0, and $0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FRANKLIN COVEY CO.</w:t>
      </w:r>
    </w:p>
    <w:p>
      <w:pPr>
        <w:pStyle w:val="TextBody"/>
        <w:bidi w:val="0"/>
        <w:spacing w:before="220" w:after="283"/>
        <w:jc w:val="center"/>
        <w:rPr>
          <w:rFonts w:ascii="Times New Roman" w:hAnsi="Times New Roman"/>
          <w:color w:val="000000"/>
          <w:sz w:val="22"/>
          <w:u w:val="single"/>
        </w:rPr>
      </w:pPr>
      <w:bookmarkStart w:id="7" w:name="statements_of_cash_flows"/>
      <w:bookmarkEnd w:id="7"/>
      <w:r>
        <w:rPr>
          <w:rFonts w:ascii="Times New Roman" w:hAnsi="Times New Roman"/>
          <w:color w:val="000000"/>
          <w:sz w:val="22"/>
          <w:u w:val="single"/>
        </w:rPr>
        <w:t>CONDENSED CONSOLIDATED STATEMENTS OF CASH FLOWS</w:t>
      </w:r>
    </w:p>
    <w:p>
      <w:pPr>
        <w:pStyle w:val="TextBody"/>
        <w:bidi w:val="0"/>
        <w:jc w:val="center"/>
        <w:rPr>
          <w:rFonts w:ascii="Times New Roman" w:hAnsi="Times New Roman"/>
          <w:color w:val="000000"/>
          <w:sz w:val="18"/>
        </w:rPr>
      </w:pPr>
      <w:r>
        <w:rPr>
          <w:rFonts w:ascii="Times New Roman" w:hAnsi="Times New Roman"/>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30"/>
        <w:gridCol w:w="746"/>
        <w:gridCol w:w="196"/>
        <w:gridCol w:w="146"/>
        <w:gridCol w:w="661"/>
        <w:gridCol w:w="166"/>
        <w:gridCol w:w="146"/>
        <w:gridCol w:w="196"/>
        <w:gridCol w:w="146"/>
        <w:gridCol w:w="661"/>
        <w:gridCol w:w="811"/>
      </w:tblGrid>
      <w:tr>
        <w:trPr/>
        <w:tc>
          <w:tcPr>
            <w:tcW w:w="633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capitalized curriculum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right-of-use operating lease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license obligation restructuring</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accounts receivable,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in inventories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prepaid expenses and 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accounts payable and accrued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deferred revenue and customer deposits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income taxes payable/receivable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other long-term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Curriculum development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Reacquisition of license rights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for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line of credit borrowings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Payments on line of credit borrowings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Payments on notes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Principal payments on financing obligation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 for treasury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(22,991</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sales of common stock held in treasury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used for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(25,613</w:t>
            </w:r>
          </w:p>
        </w:tc>
        <w:tc>
          <w:tcPr>
            <w:tcW w:w="8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Effect of foreign currency exchange rates on 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decrease in 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(14,956</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 at the beginning of the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48,663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 at the end of the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33,707</w:t>
            </w:r>
          </w:p>
        </w:tc>
        <w:tc>
          <w:tcPr>
            <w:tcW w:w="811"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Supplemental disclosure of cash flow information: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income taxes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7,050</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interest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Non-cash investing and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Acquisition of property and equipment and capitalized curriculum financed by accounts</w:t>
              <w:br/>
              <w:t>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Consideration for reacquired license rights from liabilities of seller</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8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Acquisition of right-of-use operating lease assets for 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content rights financed by accrued liabilities and other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FRANKLIN COVEY CO.</w:t>
      </w:r>
    </w:p>
    <w:p>
      <w:pPr>
        <w:pStyle w:val="TextBody"/>
        <w:bidi w:val="0"/>
        <w:spacing w:before="220" w:after="283"/>
        <w:jc w:val="center"/>
        <w:rPr>
          <w:rFonts w:ascii="Times New Roman" w:hAnsi="Times New Roman"/>
          <w:color w:val="000000"/>
          <w:sz w:val="22"/>
          <w:u w:val="single"/>
        </w:rPr>
      </w:pPr>
      <w:bookmarkStart w:id="8" w:name="equity"/>
      <w:bookmarkEnd w:id="8"/>
      <w:r>
        <w:rPr>
          <w:rFonts w:ascii="Times New Roman" w:hAnsi="Times New Roman"/>
          <w:color w:val="000000"/>
          <w:sz w:val="22"/>
          <w:u w:val="single"/>
        </w:rPr>
        <w:t>CONDENSED CONSOLIDATED STATEMENTS OF CHANGES IN SHAREHOLDERS’ EQUITY</w:t>
      </w:r>
    </w:p>
    <w:p>
      <w:pPr>
        <w:pStyle w:val="TextBody"/>
        <w:bidi w:val="0"/>
        <w:jc w:val="center"/>
        <w:rPr>
          <w:rFonts w:ascii="Times New Roman" w:hAnsi="Times New Roman"/>
          <w:color w:val="000000"/>
          <w:sz w:val="18"/>
        </w:rPr>
      </w:pPr>
      <w:r>
        <w:rPr>
          <w:rFonts w:ascii="Times New Roman" w:hAnsi="Times New Roman"/>
          <w:color w:val="000000"/>
          <w:sz w:val="18"/>
        </w:rPr>
        <w:t>(in thousands and unaudited)</w:t>
      </w:r>
    </w:p>
    <w:p>
      <w:pPr>
        <w:pStyle w:val="TextBody"/>
        <w:bidi w:val="0"/>
        <w:jc w:val="left"/>
        <w:rPr/>
      </w:pPr>
      <w:r>
        <w:rPr/>
        <w:t> </w:t>
      </w:r>
    </w:p>
    <w:tbl>
      <w:tblPr>
        <w:tblW w:w="10466" w:type="dxa"/>
        <w:jc w:val="left"/>
        <w:tblInd w:w="0" w:type="dxa"/>
        <w:tblLayout w:type="fixed"/>
        <w:tblCellMar>
          <w:top w:w="28" w:type="dxa"/>
          <w:left w:w="28" w:type="dxa"/>
          <w:bottom w:w="28" w:type="dxa"/>
          <w:right w:w="28" w:type="dxa"/>
        </w:tblCellMar>
      </w:tblPr>
      <w:tblGrid>
        <w:gridCol w:w="1081"/>
        <w:gridCol w:w="146"/>
        <w:gridCol w:w="146"/>
        <w:gridCol w:w="605"/>
        <w:gridCol w:w="146"/>
        <w:gridCol w:w="146"/>
        <w:gridCol w:w="196"/>
        <w:gridCol w:w="166"/>
        <w:gridCol w:w="585"/>
        <w:gridCol w:w="146"/>
        <w:gridCol w:w="146"/>
        <w:gridCol w:w="196"/>
        <w:gridCol w:w="146"/>
        <w:gridCol w:w="695"/>
        <w:gridCol w:w="166"/>
        <w:gridCol w:w="146"/>
        <w:gridCol w:w="196"/>
        <w:gridCol w:w="146"/>
        <w:gridCol w:w="691"/>
        <w:gridCol w:w="166"/>
        <w:gridCol w:w="146"/>
        <w:gridCol w:w="196"/>
        <w:gridCol w:w="240"/>
        <w:gridCol w:w="946"/>
        <w:gridCol w:w="166"/>
        <w:gridCol w:w="146"/>
        <w:gridCol w:w="146"/>
        <w:gridCol w:w="146"/>
        <w:gridCol w:w="661"/>
        <w:gridCol w:w="166"/>
        <w:gridCol w:w="146"/>
        <w:gridCol w:w="196"/>
        <w:gridCol w:w="146"/>
        <w:gridCol w:w="75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August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br/>
              <w:t>   from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common shares</w:t>
              <w:br/>
              <w:t>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November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br/>
              <w:t>   from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common shares</w:t>
              <w:br/>
              <w:t>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stock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(312,752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br/>
              <w:t>   from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common shares</w:t>
              <w:br/>
              <w:t>   for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FRANKLIN COVEY CO.</w:t>
      </w:r>
    </w:p>
    <w:p>
      <w:pPr>
        <w:pStyle w:val="TextBody"/>
        <w:bidi w:val="0"/>
        <w:spacing w:before="220" w:after="283"/>
        <w:jc w:val="center"/>
        <w:rPr>
          <w:rFonts w:ascii="Times New Roman" w:hAnsi="Times New Roman"/>
          <w:sz w:val="20"/>
        </w:rPr>
      </w:pPr>
      <w:r>
        <w:rPr>
          <w:rFonts w:ascii="Times New Roman" w:hAnsi="Times New Roman"/>
          <w:color w:val="000000"/>
          <w:sz w:val="22"/>
          <w:u w:val="single"/>
        </w:rPr>
        <w:t>CONDENSED CONSOLIDATED STATEMENTS OF CHANGES IN SHAREHOLDERS’ EQUITY –</w:t>
      </w:r>
      <w:r>
        <w:rPr>
          <w:rFonts w:ascii="Times New Roman" w:hAnsi="Times New Roman"/>
          <w:color w:val="000000"/>
          <w:sz w:val="20"/>
        </w:rPr>
        <w:t xml:space="preserve">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PRIOR YEAR</w:t>
      </w:r>
    </w:p>
    <w:p>
      <w:pPr>
        <w:pStyle w:val="TextBody"/>
        <w:bidi w:val="0"/>
        <w:jc w:val="center"/>
        <w:rPr>
          <w:rFonts w:ascii="Times New Roman" w:hAnsi="Times New Roman"/>
          <w:color w:val="000000"/>
          <w:sz w:val="18"/>
        </w:rPr>
      </w:pPr>
      <w:r>
        <w:rPr>
          <w:rFonts w:ascii="Times New Roman" w:hAnsi="Times New Roman"/>
          <w:color w:val="000000"/>
          <w:sz w:val="18"/>
        </w:rPr>
        <w:t>(in thousands and unaudited)</w:t>
      </w:r>
    </w:p>
    <w:p>
      <w:pPr>
        <w:pStyle w:val="TextBody"/>
        <w:bidi w:val="0"/>
        <w:jc w:val="left"/>
        <w:rPr/>
      </w:pPr>
      <w:r>
        <w:rPr/>
        <w:t> </w:t>
      </w:r>
    </w:p>
    <w:tbl>
      <w:tblPr>
        <w:tblW w:w="10466" w:type="dxa"/>
        <w:jc w:val="left"/>
        <w:tblInd w:w="0" w:type="dxa"/>
        <w:tblLayout w:type="fixed"/>
        <w:tblCellMar>
          <w:top w:w="28" w:type="dxa"/>
          <w:left w:w="28" w:type="dxa"/>
          <w:bottom w:w="28" w:type="dxa"/>
          <w:right w:w="28" w:type="dxa"/>
        </w:tblCellMar>
      </w:tblPr>
      <w:tblGrid>
        <w:gridCol w:w="1081"/>
        <w:gridCol w:w="146"/>
        <w:gridCol w:w="146"/>
        <w:gridCol w:w="605"/>
        <w:gridCol w:w="146"/>
        <w:gridCol w:w="146"/>
        <w:gridCol w:w="196"/>
        <w:gridCol w:w="166"/>
        <w:gridCol w:w="585"/>
        <w:gridCol w:w="146"/>
        <w:gridCol w:w="146"/>
        <w:gridCol w:w="196"/>
        <w:gridCol w:w="146"/>
        <w:gridCol w:w="695"/>
        <w:gridCol w:w="166"/>
        <w:gridCol w:w="146"/>
        <w:gridCol w:w="196"/>
        <w:gridCol w:w="146"/>
        <w:gridCol w:w="691"/>
        <w:gridCol w:w="166"/>
        <w:gridCol w:w="146"/>
        <w:gridCol w:w="196"/>
        <w:gridCol w:w="240"/>
        <w:gridCol w:w="946"/>
        <w:gridCol w:w="166"/>
        <w:gridCol w:w="146"/>
        <w:gridCol w:w="146"/>
        <w:gridCol w:w="146"/>
        <w:gridCol w:w="661"/>
        <w:gridCol w:w="166"/>
        <w:gridCol w:w="146"/>
        <w:gridCol w:w="196"/>
        <w:gridCol w:w="146"/>
        <w:gridCol w:w="75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August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br/>
              <w:t>   from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common shares</w:t>
              <w:br/>
              <w:t>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November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br/>
              <w:t>   from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common shares</w:t>
              <w:br/>
              <w:t>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stock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br/>
              <w:t>   from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common shares</w:t>
              <w:br/>
              <w:t>   for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FRANKLIN COVEY CO.</w:t>
      </w:r>
    </w:p>
    <w:p>
      <w:pPr>
        <w:pStyle w:val="TextBody"/>
        <w:bidi w:val="0"/>
        <w:spacing w:before="220" w:after="283"/>
        <w:jc w:val="center"/>
        <w:rPr>
          <w:rFonts w:ascii="Times New Roman" w:hAnsi="Times New Roman"/>
          <w:color w:val="000000"/>
          <w:sz w:val="22"/>
          <w:u w:val="single"/>
        </w:rPr>
      </w:pPr>
      <w:bookmarkStart w:id="9" w:name="notes_to_consolidated_financial_stmt"/>
      <w:bookmarkEnd w:id="9"/>
      <w:r>
        <w:rPr>
          <w:rFonts w:ascii="Times New Roman" w:hAnsi="Times New Roman"/>
          <w:color w:val="000000"/>
          <w:sz w:val="22"/>
          <w:u w:val="single"/>
        </w:rPr>
        <w:t>NOTES TO CONDENSED CONSOLIDATED FINANCIAL STATEMENTS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NOTE 1 – BASIS OF PRESENTATION</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Franklin Covey Co. (hereafter referred to as we, us, our, or the Company) is a global company that gives strategy the human edge. We help clients achieve breakthrough results and transform how they execute strategy at scale. Our Enterprise and Education Divisions develop high-performing leaders at all levels of the organization and align people around purpose and priorities. Through proven, principle-centered frameworks and practices, we build high-trust leaders, teams, and cultures and help organizations translate strategy into consistent execution. Our approach enables lasting, repeatable results by helping clients identify, align, and execute their most important priorities. This approach has been tested and refined through more than 40 years of work with tens of thousands of leaders and organizations. We have some of the best-known solutions in the industry, including a suite of individual-effectiveness and leadership-development training and products based on the best-selling books, </w:t>
      </w:r>
      <w:r>
        <w:rPr>
          <w:rFonts w:ascii="Times New Roman" w:hAnsi="Times New Roman"/>
          <w:i/>
          <w:color w:val="000000"/>
          <w:sz w:val="22"/>
        </w:rPr>
        <w:t>The 7 Habits of Highly Effective People, The Speed of Trust, The Leader In Me</w:t>
      </w:r>
      <w:r>
        <w:rPr>
          <w:rFonts w:ascii="Times New Roman" w:hAnsi="Times New Roman"/>
          <w:color w:val="000000"/>
          <w:sz w:val="22"/>
        </w:rPr>
        <w:t xml:space="preserve">, and </w:t>
      </w:r>
      <w:r>
        <w:rPr>
          <w:rFonts w:ascii="Times New Roman" w:hAnsi="Times New Roman"/>
          <w:i/>
          <w:color w:val="000000"/>
          <w:sz w:val="22"/>
        </w:rPr>
        <w:t>The Four Disciplines of Execution</w:t>
      </w:r>
      <w:r>
        <w:rPr>
          <w:rFonts w:ascii="Times New Roman" w:hAnsi="Times New Roman"/>
          <w:color w:val="000000"/>
          <w:sz w:val="22"/>
        </w:rPr>
        <w:t xml:space="preserve">, and proprietary content in the areas of Leadership, Execution, Productivity, Sales Performance, and Educational improvement. Our solutions and offerings are described in further detail at </w:t>
      </w:r>
      <w:r>
        <w:rPr>
          <w:rFonts w:ascii="Times New Roman" w:hAnsi="Times New Roman"/>
          <w:color w:val="000000"/>
          <w:sz w:val="22"/>
          <w:u w:val="single"/>
        </w:rPr>
        <w:t>www.franklincovey.com</w:t>
      </w:r>
      <w:r>
        <w:rPr>
          <w:rFonts w:ascii="Times New Roman" w:hAnsi="Times New Roman"/>
          <w:color w:val="000000"/>
          <w:sz w:val="20"/>
        </w:rPr>
        <w:t xml:space="preserve"> </w:t>
      </w:r>
      <w:r>
        <w:rPr>
          <w:rFonts w:ascii="Times New Roman" w:hAnsi="Times New Roman"/>
          <w:color w:val="000000"/>
          <w:sz w:val="22"/>
        </w:rPr>
        <w:t>and elsewhere in this report.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accompanying unaudited condensed consolidated financial statements reflect, in the opinion of management, all adjustments (consisting of normal recurring accruals) necessary to present fairly the financial position and results of operations of the Company as of the dates and for the periods indicated. Certain information and footnote disclosures normally included in financial statements prepared in accordance with accounting principles generally accepted in the United States of America (GAAP) have been condensed or omitted pursuant to Securities and Exchange Commission (SEC) rules and regulations. The information included in this quarterly report on Form 10-Q should be read in conjunction with the consolidated financial statements and related notes included in our Annual Report on Form 10-K for the fiscal year ended August 31, 2025, as filed with the SEC on November 12, 2025 (the Annual Report).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preparation of financial statements in conformity with GAAP requires us to make estimates and assumptions that affect the reported amounts of assets and liabilities and the disclosure of contingent assets and liabilities at the dates of the financial statements, and the reported amounts of revenues and expenses during the reporting periods. Actual results could differ from those estimates.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results of operations for the quarter and three quarters ended May 31, 2026, are not necessarily indicative of results expected for the entire fiscal year ending August 31, 2026, or for any future periods.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Inventories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inventories are stated at the lower of cost or net realizable value, cost being determined using the first-in, first-out method, and were comprised of finished goods at each of the balance sheet dates presented in this report.</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Reclassifications</w:t>
      </w:r>
    </w:p>
    <w:p>
      <w:pPr>
        <w:pStyle w:val="TextBody"/>
        <w:bidi w:val="0"/>
        <w:spacing w:before="220" w:after="283"/>
        <w:jc w:val="left"/>
        <w:rPr>
          <w:rFonts w:ascii="Times New Roman" w:hAnsi="Times New Roman"/>
          <w:sz w:val="20"/>
        </w:rPr>
      </w:pPr>
      <w:r>
        <w:rPr>
          <w:rFonts w:ascii="Times New Roman" w:hAnsi="Times New Roman"/>
          <w:color w:val="000000"/>
          <w:sz w:val="22"/>
        </w:rPr>
        <w:t>Certain expenses in our fiscal 2025 condensed consolidated statements of operations have been reclassified to conform with the current period presentation. Expenses related to the movement of our corporate headquarters incurred during the third quarter of fiscal 2025, which totaled $0.4</w:t>
      </w:r>
      <w:r>
        <w:rPr>
          <w:rFonts w:ascii="Times New Roman" w:hAnsi="Times New Roman"/>
          <w:color w:val="000000"/>
          <w:sz w:val="20"/>
        </w:rPr>
        <w:t xml:space="preserve"> </w:t>
      </w:r>
      <w:r>
        <w:rPr>
          <w:rFonts w:ascii="Times New Roman" w:hAnsi="Times New Roman"/>
          <w:color w:val="000000"/>
          <w:sz w:val="22"/>
        </w:rPr>
        <w:t>million, and for the three quarters ended May 31, 2025, which totaled $0.5</w:t>
      </w:r>
      <w:r>
        <w:rPr>
          <w:rFonts w:ascii="Times New Roman" w:hAnsi="Times New Roman"/>
          <w:color w:val="000000"/>
          <w:sz w:val="20"/>
        </w:rPr>
        <w:t xml:space="preserve"> </w:t>
      </w:r>
      <w:r>
        <w:rPr>
          <w:rFonts w:ascii="Times New Roman" w:hAnsi="Times New Roman"/>
          <w:color w:val="000000"/>
          <w:sz w:val="22"/>
        </w:rPr>
        <w:t>million, were reclassified from selling, general, and administrative expense to building exit costs.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Accounting Pronouncement Issued Not Yet Adopted</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On December 14, 2023, the Financial Accounting Standards Board (FASB) issued Accounting Standards Update (ASU) 2023-09, </w:t>
      </w:r>
      <w:r>
        <w:rPr>
          <w:rFonts w:ascii="Times New Roman" w:hAnsi="Times New Roman"/>
          <w:i/>
          <w:color w:val="000000"/>
          <w:sz w:val="22"/>
        </w:rPr>
        <w:t>Improvements to Income Tax Disclosures</w:t>
      </w:r>
      <w:r>
        <w:rPr>
          <w:rFonts w:ascii="Times New Roman" w:hAnsi="Times New Roman"/>
          <w:color w:val="000000"/>
          <w:sz w:val="22"/>
        </w:rPr>
        <w:t>. ASU 2023-09 provides guidance to enhance transparency about income tax information through improvements to income tax disclosures primarily related to the effective income tax rate reconciliation and income taxes paid. This new guidance also includes certain other amendments to improve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effectiveness of income tax disclosures. We are currently assessing the anticipated impact of this standard on our consolidated financial statements. The amendments are effective for our annual periods beginning September 1, 2025, with early adoption permitted, and should be applied either prospectively or retrospectively. The Company is currently evaluating the ASU to determine its impact on our disclosures.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In November 2024, the FASB issued ASU 2024-03, </w:t>
      </w:r>
      <w:r>
        <w:rPr>
          <w:rFonts w:ascii="Times New Roman" w:hAnsi="Times New Roman"/>
          <w:i/>
          <w:color w:val="000000"/>
          <w:sz w:val="22"/>
        </w:rPr>
        <w:t xml:space="preserve">Disaggregation of Income Statement Expenses, </w:t>
      </w:r>
      <w:r>
        <w:rPr>
          <w:rFonts w:ascii="Times New Roman" w:hAnsi="Times New Roman"/>
          <w:color w:val="000000"/>
          <w:sz w:val="22"/>
        </w:rPr>
        <w:t>which requires a public entity to disclose certain operating expenses disaggregated into categories, such as purchases of inventory, employee compensation, depreciation, and intangible asset amortization on an annual and interim basis. The guidance in ASU 2024-03 is effective for fiscal years beginning after December 15, 2026, and interim periods within fiscal years beginning after December 15, 2027, with early adoption permitted. The provisions within the update may be applied retrospectively for all periods presented in the financial statements. While we are still evaluating the specific impacts and adoption method, we anticipate this guidance will have a significant impact on our consolidated financial statement disclosures.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On September 18, 2025, the FASB issued ASU 2025-06, </w:t>
      </w:r>
      <w:r>
        <w:rPr>
          <w:rFonts w:ascii="Times New Roman" w:hAnsi="Times New Roman"/>
          <w:i/>
          <w:color w:val="000000"/>
          <w:sz w:val="22"/>
        </w:rPr>
        <w:t>Targeted Improvements to the Accounting for Internal-Use Software</w:t>
      </w:r>
      <w:r>
        <w:rPr>
          <w:rFonts w:ascii="Times New Roman" w:hAnsi="Times New Roman"/>
          <w:color w:val="000000"/>
          <w:sz w:val="22"/>
        </w:rPr>
        <w:t>, which amends certain aspects of the accounting for and disclosure of software costs under ASC 350-40. This ASU makes targeted improvements to the accounting for software costs. ASU 2025-06 also supersedes the guidance for website development costs along with the recognition requirements for development costs specific to websites. This guidance is effective for all entities for annual reporting periods beginning after December 15, 2027, and interim reporting periods within those annual reporting periods. Early adoption is permitted in an interim or annual reporting period in which financial statements have not yet been issued or made available for issuance. The Company is currently evaluating the ASU to determine its impact on our financial statements.</w:t>
      </w:r>
      <w:r>
        <w:rPr>
          <w:rFonts w:ascii="Times New Roman" w:hAnsi="Times New Roman"/>
          <w:color w:val="000000"/>
          <w:sz w:val="20"/>
        </w:rPr>
        <w:t xml:space="preserve"> </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NOTE 2 – PURCHASES OF COMMON STOCK</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purchases of common stock during the first three quarters of fiscal 2026 consisted of shares purchased on the open market and shares withheld for income taxes on stock-based compensation awards. Our stock-based compensation plans allow shares to be withheld to cover statutory income taxes if elected by the award recipient. These shares are valued at the market price on the date the awards were issued. Our fiscal 2026 purchases of common stock through May 31, 2026, consisted of the following (in thousands):</w:t>
      </w:r>
    </w:p>
    <w:p>
      <w:pPr>
        <w:pStyle w:val="TextBody"/>
        <w:bidi w:val="0"/>
        <w:jc w:val="left"/>
        <w:rPr/>
      </w:pPr>
      <w:r>
        <w:rPr/>
        <w:t> </w:t>
      </w:r>
    </w:p>
    <w:tbl>
      <w:tblPr>
        <w:tblW w:w="5201" w:type="dxa"/>
        <w:jc w:val="left"/>
        <w:tblInd w:w="0" w:type="dxa"/>
        <w:tblLayout w:type="fixed"/>
        <w:tblCellMar>
          <w:top w:w="28" w:type="dxa"/>
          <w:left w:w="28" w:type="dxa"/>
          <w:bottom w:w="28" w:type="dxa"/>
          <w:right w:w="28" w:type="dxa"/>
        </w:tblCellMar>
      </w:tblPr>
      <w:tblGrid>
        <w:gridCol w:w="2626"/>
        <w:gridCol w:w="146"/>
        <w:gridCol w:w="146"/>
        <w:gridCol w:w="146"/>
        <w:gridCol w:w="511"/>
        <w:gridCol w:w="146"/>
        <w:gridCol w:w="146"/>
        <w:gridCol w:w="196"/>
        <w:gridCol w:w="146"/>
        <w:gridCol w:w="601"/>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withheld for taxes 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market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20" w:after="283"/>
        <w:jc w:val="left"/>
        <w:rPr>
          <w:rFonts w:ascii="Times New Roman" w:hAnsi="Times New Roman"/>
          <w:sz w:val="20"/>
        </w:rPr>
      </w:pPr>
      <w:r>
        <w:rPr>
          <w:rFonts w:ascii="Times New Roman" w:hAnsi="Times New Roman"/>
          <w:color w:val="000000"/>
          <w:sz w:val="22"/>
        </w:rPr>
        <w:t>On August 14, 2025 we initiated a 10b5-1 plan to purchase up to $10.0</w:t>
      </w:r>
      <w:r>
        <w:rPr>
          <w:rFonts w:ascii="Times New Roman" w:hAnsi="Times New Roman"/>
          <w:color w:val="000000"/>
          <w:sz w:val="20"/>
        </w:rPr>
        <w:t xml:space="preserve"> </w:t>
      </w:r>
      <w:r>
        <w:rPr>
          <w:rFonts w:ascii="Times New Roman" w:hAnsi="Times New Roman"/>
          <w:color w:val="000000"/>
          <w:sz w:val="22"/>
        </w:rPr>
        <w:t>million of our common stock through daily transactions. This 10b5-1 plan was completed in October 2025. On November 17, 2025, we initiated a new 10b5-1 plan to purchase up to $20.0</w:t>
      </w:r>
      <w:r>
        <w:rPr>
          <w:rFonts w:ascii="Times New Roman" w:hAnsi="Times New Roman"/>
          <w:color w:val="000000"/>
          <w:sz w:val="20"/>
        </w:rPr>
        <w:t xml:space="preserve"> </w:t>
      </w:r>
      <w:r>
        <w:rPr>
          <w:rFonts w:ascii="Times New Roman" w:hAnsi="Times New Roman"/>
          <w:color w:val="000000"/>
          <w:sz w:val="22"/>
        </w:rPr>
        <w:t>million of our common stock through daily transactions. This 10b5-1 plan was completed in January 2026. We did not purchase any shares of our common stock on the open market during the third quarter of fiscal 2026.</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NOTE 3 – REVENUE</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Contract Balances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Our deferred revenue totaled </w:t>
      </w:r>
      <w:r>
        <w:rPr>
          <w:rFonts w:ascii="Times New Roman" w:hAnsi="Times New Roman"/>
          <w:color w:val="0000FF"/>
          <w:sz w:val="22"/>
        </w:rPr>
        <w:t>$96.0</w:t>
      </w:r>
      <w:r>
        <w:rPr>
          <w:rFonts w:ascii="Times New Roman" w:hAnsi="Times New Roman"/>
          <w:color w:val="000000"/>
          <w:sz w:val="20"/>
        </w:rPr>
        <w:t xml:space="preserve"> </w:t>
      </w:r>
      <w:r>
        <w:rPr>
          <w:rFonts w:ascii="Times New Roman" w:hAnsi="Times New Roman"/>
          <w:color w:val="000000"/>
          <w:sz w:val="22"/>
        </w:rPr>
        <w:t xml:space="preserve">million at May 31, 2026, and </w:t>
      </w:r>
      <w:r>
        <w:rPr>
          <w:rFonts w:ascii="Times New Roman" w:hAnsi="Times New Roman"/>
          <w:color w:val="0000FF"/>
          <w:sz w:val="22"/>
        </w:rPr>
        <w:t>$111.7</w:t>
      </w:r>
      <w:r>
        <w:rPr>
          <w:rFonts w:ascii="Times New Roman" w:hAnsi="Times New Roman"/>
          <w:color w:val="000000"/>
          <w:sz w:val="20"/>
        </w:rPr>
        <w:t xml:space="preserve"> </w:t>
      </w:r>
      <w:r>
        <w:rPr>
          <w:rFonts w:ascii="Times New Roman" w:hAnsi="Times New Roman"/>
          <w:color w:val="000000"/>
          <w:sz w:val="22"/>
        </w:rPr>
        <w:t xml:space="preserve">million at August 31, 2025, of which </w:t>
      </w:r>
      <w:r>
        <w:rPr>
          <w:rFonts w:ascii="Times New Roman" w:hAnsi="Times New Roman"/>
          <w:color w:val="0000FF"/>
          <w:sz w:val="22"/>
        </w:rPr>
        <w:t>$3.0</w:t>
      </w:r>
      <w:r>
        <w:rPr>
          <w:rFonts w:ascii="Times New Roman" w:hAnsi="Times New Roman"/>
          <w:color w:val="000000"/>
          <w:sz w:val="20"/>
        </w:rPr>
        <w:t xml:space="preserve"> </w:t>
      </w:r>
      <w:r>
        <w:rPr>
          <w:rFonts w:ascii="Times New Roman" w:hAnsi="Times New Roman"/>
          <w:color w:val="000000"/>
          <w:sz w:val="22"/>
        </w:rPr>
        <w:t xml:space="preserve">million and </w:t>
      </w:r>
      <w:r>
        <w:rPr>
          <w:rFonts w:ascii="Times New Roman" w:hAnsi="Times New Roman"/>
          <w:color w:val="0000FF"/>
          <w:sz w:val="22"/>
        </w:rPr>
        <w:t>$5.1</w:t>
      </w:r>
      <w:r>
        <w:rPr>
          <w:rFonts w:ascii="Times New Roman" w:hAnsi="Times New Roman"/>
          <w:color w:val="000000"/>
          <w:sz w:val="20"/>
        </w:rPr>
        <w:t xml:space="preserve"> </w:t>
      </w:r>
      <w:r>
        <w:rPr>
          <w:rFonts w:ascii="Times New Roman" w:hAnsi="Times New Roman"/>
          <w:color w:val="000000"/>
          <w:sz w:val="22"/>
        </w:rPr>
        <w:t xml:space="preserve">million were classified as components of other long-term liabilities at May 31, 2026 and August 31, 2025, respectively. During the quarter and three quarters ended May 31, 2026, we recognized </w:t>
      </w:r>
      <w:r>
        <w:rPr>
          <w:rFonts w:ascii="Times New Roman" w:hAnsi="Times New Roman"/>
          <w:color w:val="0000FF"/>
          <w:sz w:val="22"/>
        </w:rPr>
        <w:t>$42.5</w:t>
      </w:r>
      <w:r>
        <w:rPr>
          <w:rFonts w:ascii="Times New Roman" w:hAnsi="Times New Roman"/>
          <w:color w:val="000000"/>
          <w:sz w:val="20"/>
        </w:rPr>
        <w:t xml:space="preserve"> </w:t>
      </w:r>
      <w:r>
        <w:rPr>
          <w:rFonts w:ascii="Times New Roman" w:hAnsi="Times New Roman"/>
          <w:color w:val="000000"/>
          <w:sz w:val="22"/>
        </w:rPr>
        <w:t xml:space="preserve">million and </w:t>
      </w:r>
      <w:r>
        <w:rPr>
          <w:rFonts w:ascii="Times New Roman" w:hAnsi="Times New Roman"/>
          <w:color w:val="0000FF"/>
          <w:sz w:val="22"/>
        </w:rPr>
        <w:t>$118.0</w:t>
      </w:r>
      <w:r>
        <w:rPr>
          <w:rFonts w:ascii="Times New Roman" w:hAnsi="Times New Roman"/>
          <w:color w:val="000000"/>
          <w:sz w:val="20"/>
        </w:rPr>
        <w:t xml:space="preserve"> </w:t>
      </w:r>
      <w:r>
        <w:rPr>
          <w:rFonts w:ascii="Times New Roman" w:hAnsi="Times New Roman"/>
          <w:color w:val="000000"/>
          <w:sz w:val="22"/>
        </w:rPr>
        <w:t>million of previously deferred revenue.</w:t>
      </w:r>
    </w:p>
    <w:p>
      <w:pPr>
        <w:pStyle w:val="TextBody"/>
        <w:bidi w:val="0"/>
        <w:spacing w:before="220" w:after="283"/>
        <w:jc w:val="left"/>
        <w:rPr>
          <w:rFonts w:ascii="Times New Roman" w:hAnsi="Times New Roman"/>
          <w:sz w:val="20"/>
        </w:rPr>
      </w:pPr>
      <w:r>
        <w:rPr>
          <w:rFonts w:ascii="Times New Roman" w:hAnsi="Times New Roman"/>
          <w:color w:val="000000"/>
          <w:sz w:val="22"/>
        </w:rPr>
        <w:t>Deferred revenue primarily consists of billings or payments received in advance of revenue being recognized from subscription services and related professional and other services. Deferred revenue is recognized in revenue as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sz w:val="20"/>
        </w:rPr>
      </w:pPr>
      <w:r>
        <w:rPr>
          <w:rFonts w:ascii="Times New Roman" w:hAnsi="Times New Roman"/>
          <w:color w:val="000000"/>
          <w:sz w:val="22"/>
        </w:rPr>
        <w:t>applicable revenue recognition criteria are met. We generally invoice customers in annual installments upon execution of a contract, including contractually committed services. We recognize contractually committed services revenue as the services are delivered. The</w:t>
      </w:r>
      <w:r>
        <w:rPr>
          <w:rFonts w:ascii="Times New Roman" w:hAnsi="Times New Roman"/>
          <w:color w:val="000000"/>
          <w:sz w:val="20"/>
        </w:rPr>
        <w:t xml:space="preserve">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 xml:space="preserve">membership offering is bifurcated into a portal membership obligation and coaching and materials delivery obligations. We have determined that it is appropriate to recognize revenue related to the portal membership over the term of the underlying contract and to recognize revenue from coaching as those services are performed or as materials are shipped. The combined contract amount is recorded in deferred revenue until the performance obligations are satisfied. Any additional coaching or training days which are contracted independent of a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membership are recorded as revenue in accordance with our general policy for services and products as described in our Annual Report. During the first three quarters of fiscal 2026, we entered into non-cancelable contracts for the delivery of the All Access Pass (AAP) and related services and materials in the Enterprise Division. These contract amounts are recorded in deferred revenue until the performance obligations are satisfied or until the end of the contract term.</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Remaining Performance Obligations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Whenever possible, we enter into multi-year non-cancellable contracts which are invoiced either upon execution of the contract or at the beginning of each annual contract period. Remaining transaction price represents contracted revenue that has not yet been recognized, including unearned revenue and unbilled amounts that will be recognized as revenue in future periods. Transaction price is influenced by factors such as inflation, the average length of the contract term, and the ability of the Company to continue to enter into multi-year non-cancellable contracts. At May 31, 2026, we had </w:t>
      </w:r>
      <w:r>
        <w:rPr>
          <w:rFonts w:ascii="Times New Roman" w:hAnsi="Times New Roman"/>
          <w:color w:val="0000FF"/>
          <w:sz w:val="22"/>
        </w:rPr>
        <w:t>$157.1</w:t>
      </w:r>
      <w:r>
        <w:rPr>
          <w:rFonts w:ascii="Times New Roman" w:hAnsi="Times New Roman"/>
          <w:color w:val="000000"/>
          <w:sz w:val="20"/>
        </w:rPr>
        <w:t xml:space="preserve"> </w:t>
      </w:r>
      <w:r>
        <w:rPr>
          <w:rFonts w:ascii="Times New Roman" w:hAnsi="Times New Roman"/>
          <w:color w:val="000000"/>
          <w:sz w:val="22"/>
        </w:rPr>
        <w:t>million of remaining performance obligations, including our deferred revenue. The remaining performance obligation does not include customer deposits, as these amounts are generally refundable at the client’s request prior to the satisfaction of the obligation.</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Disaggregated Revenue Information</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Refer to Note 7, </w:t>
      </w:r>
      <w:r>
        <w:rPr>
          <w:rFonts w:ascii="Times New Roman" w:hAnsi="Times New Roman"/>
          <w:i/>
          <w:color w:val="000000"/>
          <w:sz w:val="22"/>
        </w:rPr>
        <w:t>Segment Information</w:t>
      </w:r>
      <w:r>
        <w:rPr>
          <w:rFonts w:ascii="Times New Roman" w:hAnsi="Times New Roman"/>
          <w:color w:val="000000"/>
          <w:sz w:val="22"/>
        </w:rPr>
        <w:t>, to these unaudited condensed consolidated financial statements for our disaggregated revenue disclosure.</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NOTE 4 – STOCK-BASED COMPENSATION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stock-based compensation expense was comprised of the following for the periods presented (in thousands):</w:t>
      </w:r>
    </w:p>
    <w:p>
      <w:pPr>
        <w:pStyle w:val="TextBody"/>
        <w:bidi w:val="0"/>
        <w:jc w:val="left"/>
        <w:rPr/>
      </w:pPr>
      <w:r>
        <w:rPr/>
        <w:t> </w:t>
      </w:r>
    </w:p>
    <w:tbl>
      <w:tblPr>
        <w:tblW w:w="7188" w:type="dxa"/>
        <w:jc w:val="left"/>
        <w:tblInd w:w="0" w:type="dxa"/>
        <w:tblLayout w:type="fixed"/>
        <w:tblCellMar>
          <w:top w:w="28" w:type="dxa"/>
          <w:left w:w="28" w:type="dxa"/>
          <w:bottom w:w="28" w:type="dxa"/>
          <w:right w:w="28" w:type="dxa"/>
        </w:tblCellMar>
      </w:tblPr>
      <w:tblGrid>
        <w:gridCol w:w="2371"/>
        <w:gridCol w:w="146"/>
        <w:gridCol w:w="196"/>
        <w:gridCol w:w="156"/>
        <w:gridCol w:w="549"/>
        <w:gridCol w:w="146"/>
        <w:gridCol w:w="146"/>
        <w:gridCol w:w="196"/>
        <w:gridCol w:w="156"/>
        <w:gridCol w:w="549"/>
        <w:gridCol w:w="146"/>
        <w:gridCol w:w="146"/>
        <w:gridCol w:w="196"/>
        <w:gridCol w:w="156"/>
        <w:gridCol w:w="549"/>
        <w:gridCol w:w="146"/>
        <w:gridCol w:w="146"/>
        <w:gridCol w:w="196"/>
        <w:gridCol w:w="156"/>
        <w:gridCol w:w="549"/>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incentive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Strive acquisition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4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4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4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5,591</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4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w:t>
            </w:r>
          </w:p>
        </w:tc>
        <w:tc>
          <w:tcPr>
            <w:tcW w:w="19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During the quarter and three quarters ended May 31, 2026, we issued </w:t>
      </w:r>
      <w:r>
        <w:rPr>
          <w:rFonts w:ascii="Times New Roman" w:hAnsi="Times New Roman"/>
          <w:color w:val="0000FF"/>
          <w:sz w:val="22"/>
        </w:rPr>
        <w:t>110,222</w:t>
      </w:r>
      <w:r>
        <w:rPr>
          <w:rFonts w:ascii="Times New Roman" w:hAnsi="Times New Roman"/>
          <w:color w:val="000000"/>
          <w:sz w:val="20"/>
        </w:rPr>
        <w:t xml:space="preserve"> </w:t>
      </w:r>
      <w:r>
        <w:rPr>
          <w:rFonts w:ascii="Times New Roman" w:hAnsi="Times New Roman"/>
          <w:color w:val="000000"/>
          <w:sz w:val="22"/>
        </w:rPr>
        <w:t xml:space="preserve">shares and </w:t>
      </w:r>
      <w:r>
        <w:rPr>
          <w:rFonts w:ascii="Times New Roman" w:hAnsi="Times New Roman"/>
          <w:color w:val="0000FF"/>
          <w:sz w:val="22"/>
        </w:rPr>
        <w:t>379,936</w:t>
      </w:r>
      <w:r>
        <w:rPr>
          <w:rFonts w:ascii="Times New Roman" w:hAnsi="Times New Roman"/>
          <w:color w:val="000000"/>
          <w:sz w:val="20"/>
        </w:rPr>
        <w:t xml:space="preserve"> </w:t>
      </w:r>
      <w:r>
        <w:rPr>
          <w:rFonts w:ascii="Times New Roman" w:hAnsi="Times New Roman"/>
          <w:color w:val="000000"/>
          <w:sz w:val="22"/>
        </w:rPr>
        <w:t>shares, respectively, of our common stock under various stock-based compensation arrangements, including shares sold through our employee stock purchase plan (ESPP).</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Fiscal 2026 Long-Term Incentive Plan Award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On November 13, 2025, the Organization and Compensation Committee granted a new long-term incentive plan (LTIP) award to our executive officers and other members of management. The fiscal 2026 LTIP award consists of three tranches, one with a time-based vesting condition and two with performance-based vesting conditions as described below:</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Time-Based Award Shares</w:t>
      </w:r>
      <w:r>
        <w:rPr>
          <w:color w:val="000000"/>
        </w:rPr>
        <w:t xml:space="preserve"> – </w:t>
      </w:r>
      <w:r>
        <w:rPr>
          <w:rFonts w:ascii="Times New Roman" w:hAnsi="Times New Roman"/>
          <w:color w:val="000000"/>
          <w:sz w:val="22"/>
        </w:rPr>
        <w:t>25% of a participant’s fiscal 2026 LTIP award shares vest over a three-year</w:t>
      </w:r>
      <w:r>
        <w:rPr>
          <w:color w:val="000000"/>
        </w:rPr>
        <w:t xml:space="preserve"> </w:t>
      </w:r>
      <w:r>
        <w:rPr>
          <w:rFonts w:ascii="Times New Roman" w:hAnsi="Times New Roman"/>
          <w:color w:val="000000"/>
          <w:sz w:val="22"/>
        </w:rPr>
        <w:t>service period. The 2026 LTIP time-based awards step-vest with one-third</w:t>
      </w:r>
      <w:r>
        <w:rPr>
          <w:color w:val="000000"/>
        </w:rPr>
        <w:t xml:space="preserve"> </w:t>
      </w:r>
      <w:r>
        <w:rPr>
          <w:rFonts w:ascii="Times New Roman" w:hAnsi="Times New Roman"/>
          <w:color w:val="000000"/>
          <w:sz w:val="22"/>
        </w:rPr>
        <w:t xml:space="preserve">vesting in each of November 2026, 2027, and 2028. The total number of time-based shares that may be earned by participants in the 2026 LTIP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color w:val="000000"/>
          <w:sz w:val="22"/>
        </w:rPr>
        <w:t>award is 76,668</w:t>
      </w:r>
      <w:r>
        <w:rPr>
          <w:color w:val="000000"/>
        </w:rPr>
        <w:t xml:space="preserve"> </w:t>
      </w:r>
      <w:r>
        <w:rPr>
          <w:rFonts w:ascii="Times New Roman" w:hAnsi="Times New Roman"/>
          <w:color w:val="000000"/>
          <w:sz w:val="22"/>
        </w:rPr>
        <w:t>shares (adjusted for forfeitures). The number of shares awarded in this tranche is not variable and will not fluctuate based on financial or performance measures.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Performance-Based Award Shares</w:t>
      </w:r>
      <w:r>
        <w:rPr>
          <w:color w:val="000000"/>
        </w:rPr>
        <w:t xml:space="preserve"> – </w:t>
      </w:r>
      <w:r>
        <w:rPr>
          <w:rFonts w:ascii="Times New Roman" w:hAnsi="Times New Roman"/>
          <w:color w:val="000000"/>
          <w:sz w:val="22"/>
        </w:rPr>
        <w:t>The remaining 75% of a participant’s fiscal 2026 LTIP award is based on cumulative net revenue and cumulative Adjusted EBITDA achieved over a three-year</w:t>
      </w:r>
      <w:r>
        <w:rPr>
          <w:color w:val="000000"/>
        </w:rPr>
        <w:t xml:space="preserve"> </w:t>
      </w:r>
      <w:r>
        <w:rPr>
          <w:rFonts w:ascii="Times New Roman" w:hAnsi="Times New Roman"/>
          <w:color w:val="000000"/>
          <w:sz w:val="22"/>
        </w:rPr>
        <w:t>measurement period consisting of fiscal 2026, fiscal 2027, and fiscal 2028. 70% of the performance-based shares will be earned on cumulative net revenue and 30% of the performance-based shares will be earned on cumulative Adjusted EBITDA.</w:t>
      </w:r>
      <w:r>
        <w:rPr>
          <w:color w:val="000000"/>
        </w:rPr>
        <w:t xml:space="preserve"> </w:t>
      </w:r>
      <w:r>
        <w:rPr>
          <w:rFonts w:ascii="Times New Roman" w:hAnsi="Times New Roman"/>
          <w:color w:val="000000"/>
          <w:sz w:val="22"/>
        </w:rPr>
        <w:t>The number of shares that eventually vest to participants in this tranche is variable and may be 50% of the award (minimum award threshold) or up to 175% of the participant’s award (maximum threshold). The number of shares that may be earned for achieving 100% of the performance-based objectives totals 222,755</w:t>
      </w:r>
      <w:r>
        <w:rPr>
          <w:color w:val="000000"/>
        </w:rPr>
        <w:t xml:space="preserve"> </w:t>
      </w:r>
      <w:r>
        <w:rPr>
          <w:rFonts w:ascii="Times New Roman" w:hAnsi="Times New Roman"/>
          <w:color w:val="000000"/>
          <w:sz w:val="22"/>
        </w:rPr>
        <w:t>shares (adjusted for forfeitures). The maximum number of shares that may be awarded in connection with the performance-based tranches of the 2026 LTIP totals 389,805</w:t>
      </w:r>
      <w:r>
        <w:rPr>
          <w:color w:val="000000"/>
        </w:rPr>
        <w:t xml:space="preserve"> </w:t>
      </w:r>
      <w:r>
        <w:rPr>
          <w:rFonts w:ascii="Times New Roman" w:hAnsi="Times New Roman"/>
          <w:color w:val="000000"/>
          <w:sz w:val="22"/>
        </w:rPr>
        <w:t>shares.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Strive Acquisition Amendment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 connection with the fiscal 2021 acquisition of Strive Talent, Inc. (Strive), the former principal owner of Strive was entitled to earn up to approximately $4.2</w:t>
      </w:r>
      <w:r>
        <w:rPr>
          <w:rFonts w:ascii="Times New Roman" w:hAnsi="Times New Roman"/>
          <w:color w:val="000000"/>
          <w:sz w:val="20"/>
        </w:rPr>
        <w:t xml:space="preserve"> </w:t>
      </w:r>
      <w:r>
        <w:rPr>
          <w:rFonts w:ascii="Times New Roman" w:hAnsi="Times New Roman"/>
          <w:color w:val="000000"/>
          <w:sz w:val="22"/>
        </w:rPr>
        <w:t>million of additional consideration based on All Access Pass subscription and subscription services revenue over a five-year</w:t>
      </w:r>
      <w:r>
        <w:rPr>
          <w:rFonts w:ascii="Times New Roman" w:hAnsi="Times New Roman"/>
          <w:color w:val="000000"/>
          <w:sz w:val="20"/>
        </w:rPr>
        <w:t xml:space="preserve"> </w:t>
      </w:r>
      <w:r>
        <w:rPr>
          <w:rFonts w:ascii="Times New Roman" w:hAnsi="Times New Roman"/>
          <w:color w:val="000000"/>
          <w:sz w:val="22"/>
        </w:rPr>
        <w:t>measurement period ending on May 31, 2026. These contingent payments were only earned if the former principal owner remained employed through the first four years of the measurement period. In an effort to retain the former principal owner of Strive, the Company and the former principal owner agreed to a modification of the acquisition agreement. In exchange for continued employment through February 27, 2026, the Company agreed to pay the former principal owner of Strive the remaining $1.4</w:t>
      </w:r>
      <w:r>
        <w:rPr>
          <w:rFonts w:ascii="Times New Roman" w:hAnsi="Times New Roman"/>
          <w:color w:val="000000"/>
          <w:sz w:val="20"/>
        </w:rPr>
        <w:t xml:space="preserve"> </w:t>
      </w:r>
      <w:r>
        <w:rPr>
          <w:rFonts w:ascii="Times New Roman" w:hAnsi="Times New Roman"/>
          <w:color w:val="000000"/>
          <w:sz w:val="22"/>
        </w:rPr>
        <w:t>million of unearned contingent consideration. The Company issued 80,434</w:t>
      </w:r>
      <w:r>
        <w:rPr>
          <w:rFonts w:ascii="Times New Roman" w:hAnsi="Times New Roman"/>
          <w:color w:val="000000"/>
          <w:sz w:val="20"/>
        </w:rPr>
        <w:t xml:space="preserve"> </w:t>
      </w:r>
      <w:r>
        <w:rPr>
          <w:rFonts w:ascii="Times New Roman" w:hAnsi="Times New Roman"/>
          <w:color w:val="000000"/>
          <w:sz w:val="22"/>
        </w:rPr>
        <w:t>shares of its common stock under the terms of this modification agreement in the third quarter of fiscal 2026.</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Annual Long-Term Incentive Performance and Retention Plan</w:t>
      </w:r>
    </w:p>
    <w:p>
      <w:pPr>
        <w:pStyle w:val="TextBody"/>
        <w:bidi w:val="0"/>
        <w:spacing w:before="220" w:after="283"/>
        <w:jc w:val="left"/>
        <w:rPr>
          <w:rFonts w:ascii="Times New Roman" w:hAnsi="Times New Roman"/>
          <w:sz w:val="20"/>
        </w:rPr>
      </w:pPr>
      <w:r>
        <w:rPr>
          <w:rFonts w:ascii="Times New Roman" w:hAnsi="Times New Roman"/>
          <w:color w:val="000000"/>
          <w:sz w:val="22"/>
        </w:rPr>
        <w:t>We have a long-term equity incentive plan for client partners, managing directors, and certain other associates that we believe are critical to our long-term success. The number of shares granted to sales-related roles is generally based on the achievement of specified annual revenue goals while other awards are for an amount determined by the Organization and Compensation Committee of the Board of Directors. These time-based awards are granted after the completion of each fiscal year and vest over a three-year</w:t>
      </w:r>
      <w:r>
        <w:rPr>
          <w:rFonts w:ascii="Times New Roman" w:hAnsi="Times New Roman"/>
          <w:color w:val="000000"/>
          <w:sz w:val="20"/>
        </w:rPr>
        <w:t xml:space="preserve"> </w:t>
      </w:r>
      <w:r>
        <w:rPr>
          <w:rFonts w:ascii="Times New Roman" w:hAnsi="Times New Roman"/>
          <w:color w:val="000000"/>
          <w:sz w:val="22"/>
        </w:rPr>
        <w:t>service period, with one-third</w:t>
      </w:r>
      <w:r>
        <w:rPr>
          <w:rFonts w:ascii="Times New Roman" w:hAnsi="Times New Roman"/>
          <w:color w:val="000000"/>
          <w:sz w:val="20"/>
        </w:rPr>
        <w:t xml:space="preserve"> </w:t>
      </w:r>
      <w:r>
        <w:rPr>
          <w:rFonts w:ascii="Times New Roman" w:hAnsi="Times New Roman"/>
          <w:color w:val="000000"/>
          <w:sz w:val="22"/>
        </w:rPr>
        <w:t>of the shares vesting on the anniversary of the grant date of each subsequent year. We granted a total of 148,708</w:t>
      </w:r>
      <w:r>
        <w:rPr>
          <w:rFonts w:ascii="Times New Roman" w:hAnsi="Times New Roman"/>
          <w:color w:val="000000"/>
          <w:sz w:val="20"/>
        </w:rPr>
        <w:t xml:space="preserve"> </w:t>
      </w:r>
      <w:r>
        <w:rPr>
          <w:rFonts w:ascii="Times New Roman" w:hAnsi="Times New Roman"/>
          <w:color w:val="000000"/>
          <w:sz w:val="22"/>
        </w:rPr>
        <w:t>unvested share units (adjusted for forfeitures) in fiscal 2026 to participants under the terms of this long-term incentive plan. The compensation cost of these awards is included in the long-term incentive awards category in the preceding table.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Fiscal 2026 Board of Director Unvested Stock Award</w:t>
      </w:r>
    </w:p>
    <w:p>
      <w:pPr>
        <w:pStyle w:val="TextBody"/>
        <w:bidi w:val="0"/>
        <w:spacing w:before="220" w:after="283"/>
        <w:jc w:val="left"/>
        <w:rPr>
          <w:rFonts w:ascii="Times New Roman" w:hAnsi="Times New Roman"/>
          <w:sz w:val="20"/>
        </w:rPr>
      </w:pPr>
      <w:r>
        <w:rPr>
          <w:rFonts w:ascii="Times New Roman" w:hAnsi="Times New Roman"/>
          <w:color w:val="000000"/>
          <w:sz w:val="22"/>
        </w:rPr>
        <w:t>Our annual unvested stock award granted to non-employee members of the Board of Directors is administered under the terms of our omnibus incentive plan, and is designed to provide our non-employee directors, who are not eligible to participate in our employee stock purchase plan, an opportunity to obtain an interest in the Company through the acquisition of shares of our common stock as part of their compensation. The annual award is generally granted in January of each year on the same day as our annual shareholders’ meeting. For the fiscal 2026 award, each eligible director received a whole share grant equal to $120,000</w:t>
      </w:r>
      <w:r>
        <w:rPr>
          <w:rFonts w:ascii="Times New Roman" w:hAnsi="Times New Roman"/>
          <w:color w:val="000000"/>
          <w:sz w:val="20"/>
        </w:rPr>
        <w:t xml:space="preserve"> </w:t>
      </w:r>
      <w:r>
        <w:rPr>
          <w:rFonts w:ascii="Times New Roman" w:hAnsi="Times New Roman"/>
          <w:color w:val="000000"/>
          <w:sz w:val="22"/>
        </w:rPr>
        <w:t>with a one-year</w:t>
      </w:r>
      <w:r>
        <w:rPr>
          <w:rFonts w:ascii="Times New Roman" w:hAnsi="Times New Roman"/>
          <w:color w:val="000000"/>
          <w:sz w:val="20"/>
        </w:rPr>
        <w:t xml:space="preserve"> </w:t>
      </w:r>
      <w:r>
        <w:rPr>
          <w:rFonts w:ascii="Times New Roman" w:hAnsi="Times New Roman"/>
          <w:color w:val="000000"/>
          <w:sz w:val="22"/>
        </w:rPr>
        <w:t>vesting period. Our Board of Directors unvested stock award activity during the three quarters ended May 31, 2026 consisted of the following:</w:t>
      </w:r>
    </w:p>
    <w:p>
      <w:pPr>
        <w:pStyle w:val="TextBody"/>
        <w:bidi w:val="0"/>
        <w:jc w:val="left"/>
        <w:rPr/>
      </w:pPr>
      <w:r>
        <w:rPr/>
        <w:t> </w:t>
      </w:r>
    </w:p>
    <w:tbl>
      <w:tblPr>
        <w:tblW w:w="7077" w:type="dxa"/>
        <w:jc w:val="left"/>
        <w:tblInd w:w="0" w:type="dxa"/>
        <w:tblLayout w:type="fixed"/>
        <w:tblCellMar>
          <w:top w:w="28" w:type="dxa"/>
          <w:left w:w="28" w:type="dxa"/>
          <w:bottom w:w="28" w:type="dxa"/>
          <w:right w:w="28" w:type="dxa"/>
        </w:tblCellMar>
      </w:tblPr>
      <w:tblGrid>
        <w:gridCol w:w="3281"/>
        <w:gridCol w:w="246"/>
        <w:gridCol w:w="255"/>
        <w:gridCol w:w="1155"/>
        <w:gridCol w:w="166"/>
        <w:gridCol w:w="146"/>
        <w:gridCol w:w="196"/>
        <w:gridCol w:w="320"/>
        <w:gridCol w:w="1121"/>
        <w:gridCol w:w="191"/>
      </w:tblGrid>
      <w:tr>
        <w:trPr/>
        <w:tc>
          <w:tcPr>
            <w:tcW w:w="3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Weighted-Average</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Unvested stock awards at August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Granted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Forfeited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Vested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Unvested stock awards at May 31, 2026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Employee Stock Purchase Plan</w:t>
      </w:r>
    </w:p>
    <w:p>
      <w:pPr>
        <w:pStyle w:val="TextBody"/>
        <w:bidi w:val="0"/>
        <w:spacing w:before="220" w:after="283"/>
        <w:jc w:val="left"/>
        <w:rPr>
          <w:rFonts w:ascii="Times New Roman" w:hAnsi="Times New Roman"/>
          <w:sz w:val="20"/>
        </w:rPr>
      </w:pPr>
      <w:r>
        <w:rPr>
          <w:rFonts w:ascii="Times New Roman" w:hAnsi="Times New Roman"/>
          <w:color w:val="000000"/>
          <w:sz w:val="22"/>
        </w:rPr>
        <w:t>We have an ESPP that offers qualified employees the opportunity to purchase shares of our common stock at a price equal to 85% of the average fair market value of our common stock on the last trading day of each fiscal quarter. During the quarter and three quarters ended May 31, 2026, we sold 28,355 shares and 65,892 shares of our common stock to participants in the ESPP.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NOTE 5 – RESTRUCTURING COSTS</w:t>
      </w:r>
    </w:p>
    <w:p>
      <w:pPr>
        <w:pStyle w:val="TextBody"/>
        <w:bidi w:val="0"/>
        <w:spacing w:before="220" w:after="283"/>
        <w:jc w:val="left"/>
        <w:rPr>
          <w:rFonts w:ascii="Times New Roman" w:hAnsi="Times New Roman"/>
          <w:sz w:val="20"/>
        </w:rPr>
      </w:pPr>
      <w:r>
        <w:rPr>
          <w:rFonts w:ascii="Times New Roman" w:hAnsi="Times New Roman"/>
          <w:b/>
          <w:i/>
          <w:color w:val="000000"/>
          <w:sz w:val="22"/>
          <w:u w:val="single"/>
        </w:rPr>
        <w:t>First Quarter Restructuring Costs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color w:val="000000"/>
          <w:sz w:val="22"/>
        </w:rPr>
        <w:t>During the first quarter of fiscal 2026, we expensed $3.4</w:t>
      </w:r>
      <w:r>
        <w:rPr>
          <w:rFonts w:ascii="Times New Roman" w:hAnsi="Times New Roman"/>
          <w:color w:val="000000"/>
          <w:sz w:val="20"/>
        </w:rPr>
        <w:t xml:space="preserve"> </w:t>
      </w:r>
      <w:r>
        <w:rPr>
          <w:rFonts w:ascii="Times New Roman" w:hAnsi="Times New Roman"/>
          <w:color w:val="000000"/>
          <w:sz w:val="22"/>
        </w:rPr>
        <w:t>million for restructuring costs to streamline our organizational structure and reduce ongoing operating costs. The restructuring charge was comprised of severance costs to approximately 45</w:t>
      </w:r>
      <w:r>
        <w:rPr>
          <w:rFonts w:ascii="Times New Roman" w:hAnsi="Times New Roman"/>
          <w:color w:val="000000"/>
          <w:sz w:val="20"/>
        </w:rPr>
        <w:t xml:space="preserve"> </w:t>
      </w:r>
      <w:r>
        <w:rPr>
          <w:rFonts w:ascii="Times New Roman" w:hAnsi="Times New Roman"/>
          <w:color w:val="000000"/>
          <w:sz w:val="22"/>
        </w:rPr>
        <w:t>associates who were impacted by the event. Approximately $2.3</w:t>
      </w:r>
      <w:r>
        <w:rPr>
          <w:rFonts w:ascii="Times New Roman" w:hAnsi="Times New Roman"/>
          <w:color w:val="000000"/>
          <w:sz w:val="20"/>
        </w:rPr>
        <w:t xml:space="preserve"> </w:t>
      </w:r>
      <w:r>
        <w:rPr>
          <w:rFonts w:ascii="Times New Roman" w:hAnsi="Times New Roman"/>
          <w:color w:val="000000"/>
          <w:sz w:val="22"/>
        </w:rPr>
        <w:t>million of the restructuring charge was attributable to the North America segment, $0.4</w:t>
      </w:r>
      <w:r>
        <w:rPr>
          <w:rFonts w:ascii="Times New Roman" w:hAnsi="Times New Roman"/>
          <w:color w:val="000000"/>
          <w:sz w:val="20"/>
        </w:rPr>
        <w:t xml:space="preserve"> </w:t>
      </w:r>
      <w:r>
        <w:rPr>
          <w:rFonts w:ascii="Times New Roman" w:hAnsi="Times New Roman"/>
          <w:color w:val="000000"/>
          <w:sz w:val="22"/>
        </w:rPr>
        <w:t>million was for the International segment, and $0.7</w:t>
      </w:r>
      <w:r>
        <w:rPr>
          <w:rFonts w:ascii="Times New Roman" w:hAnsi="Times New Roman"/>
          <w:color w:val="000000"/>
          <w:sz w:val="20"/>
        </w:rPr>
        <w:t xml:space="preserve"> </w:t>
      </w:r>
      <w:r>
        <w:rPr>
          <w:rFonts w:ascii="Times New Roman" w:hAnsi="Times New Roman"/>
          <w:color w:val="000000"/>
          <w:sz w:val="22"/>
        </w:rPr>
        <w:t>million was for the Education Division. We paid the majority of these severance benefits during the first three quarters of fiscal 2026 and at May 31, 2026, we had $0.1</w:t>
      </w:r>
      <w:r>
        <w:rPr>
          <w:rFonts w:ascii="Times New Roman" w:hAnsi="Times New Roman"/>
          <w:color w:val="000000"/>
          <w:sz w:val="20"/>
        </w:rPr>
        <w:t xml:space="preserve"> </w:t>
      </w:r>
      <w:r>
        <w:rPr>
          <w:rFonts w:ascii="Times New Roman" w:hAnsi="Times New Roman"/>
          <w:color w:val="000000"/>
          <w:sz w:val="22"/>
        </w:rPr>
        <w:t>million of these costs remaining in accrued liabilities on our condensed consolidated balance sheet for this restructuring event.</w:t>
      </w:r>
    </w:p>
    <w:p>
      <w:pPr>
        <w:pStyle w:val="TextBody"/>
        <w:bidi w:val="0"/>
        <w:spacing w:before="220" w:after="283"/>
        <w:jc w:val="left"/>
        <w:rPr>
          <w:rFonts w:ascii="Times New Roman" w:hAnsi="Times New Roman"/>
          <w:b/>
          <w:i/>
          <w:color w:val="000000"/>
          <w:sz w:val="22"/>
          <w:u w:val="single"/>
        </w:rPr>
      </w:pPr>
      <w:r>
        <w:rPr>
          <w:rFonts w:ascii="Times New Roman" w:hAnsi="Times New Roman"/>
          <w:b/>
          <w:i/>
          <w:color w:val="000000"/>
          <w:sz w:val="22"/>
          <w:u w:val="single"/>
        </w:rPr>
        <w:t>Long-Term Restructuring Plan</w:t>
      </w:r>
    </w:p>
    <w:p>
      <w:pPr>
        <w:pStyle w:val="TextBody"/>
        <w:bidi w:val="0"/>
        <w:spacing w:before="220" w:after="283"/>
        <w:jc w:val="left"/>
        <w:rPr>
          <w:rFonts w:ascii="Times New Roman" w:hAnsi="Times New Roman"/>
          <w:sz w:val="20"/>
        </w:rPr>
      </w:pPr>
      <w:r>
        <w:rPr>
          <w:rFonts w:ascii="Times New Roman" w:hAnsi="Times New Roman"/>
          <w:color w:val="000000"/>
          <w:sz w:val="22"/>
        </w:rPr>
        <w:t>During the second quarter of fiscal 2026, we initiated a long-term restructuring plan that is designed to streamline and simplify our operating model, focus investment in growth areas, improve processes, consolidate and centralize certain functions, and provide organizational focus to realign talent with current and expected business needs. This restructuring plan is expected to span four or five quarters and may incur various costs to implement the organizational and process changes.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color w:val="000000"/>
          <w:sz w:val="22"/>
        </w:rPr>
        <w:t>In the quarter ended February 28, 2026, we expensed $1.5</w:t>
      </w:r>
      <w:r>
        <w:rPr>
          <w:rFonts w:ascii="Times New Roman" w:hAnsi="Times New Roman"/>
          <w:color w:val="000000"/>
          <w:sz w:val="20"/>
        </w:rPr>
        <w:t xml:space="preserve"> </w:t>
      </w:r>
      <w:r>
        <w:rPr>
          <w:rFonts w:ascii="Times New Roman" w:hAnsi="Times New Roman"/>
          <w:color w:val="000000"/>
          <w:sz w:val="22"/>
        </w:rPr>
        <w:t>million of costs related to the long-term restructuring plan. These costs were comprised primarily of severance and related expenses for 7</w:t>
      </w:r>
      <w:r>
        <w:rPr>
          <w:rFonts w:ascii="Times New Roman" w:hAnsi="Times New Roman"/>
          <w:color w:val="000000"/>
          <w:sz w:val="20"/>
        </w:rPr>
        <w:t xml:space="preserve"> </w:t>
      </w:r>
      <w:r>
        <w:rPr>
          <w:rFonts w:ascii="Times New Roman" w:hAnsi="Times New Roman"/>
          <w:color w:val="000000"/>
          <w:sz w:val="22"/>
        </w:rPr>
        <w:t>employees and are expected to be paid out over the next two quarters. Approximately $1.5</w:t>
      </w:r>
      <w:r>
        <w:rPr>
          <w:rFonts w:ascii="Times New Roman" w:hAnsi="Times New Roman"/>
          <w:color w:val="000000"/>
          <w:sz w:val="20"/>
        </w:rPr>
        <w:t xml:space="preserve"> </w:t>
      </w:r>
      <w:r>
        <w:rPr>
          <w:rFonts w:ascii="Times New Roman" w:hAnsi="Times New Roman"/>
          <w:color w:val="000000"/>
          <w:sz w:val="22"/>
        </w:rPr>
        <w:t>million was attributable to our North America segment and approximately $30,000</w:t>
      </w:r>
      <w:r>
        <w:rPr>
          <w:rFonts w:ascii="Times New Roman" w:hAnsi="Times New Roman"/>
          <w:color w:val="000000"/>
          <w:sz w:val="20"/>
        </w:rPr>
        <w:t xml:space="preserve"> </w:t>
      </w:r>
      <w:r>
        <w:rPr>
          <w:rFonts w:ascii="Times New Roman" w:hAnsi="Times New Roman"/>
          <w:color w:val="000000"/>
          <w:sz w:val="22"/>
        </w:rPr>
        <w:t>was attributable to our International segment. At May 31, 2026, we had $0.3</w:t>
      </w:r>
      <w:r>
        <w:rPr>
          <w:rFonts w:ascii="Times New Roman" w:hAnsi="Times New Roman"/>
          <w:color w:val="000000"/>
          <w:sz w:val="20"/>
        </w:rPr>
        <w:t xml:space="preserve"> </w:t>
      </w:r>
      <w:r>
        <w:rPr>
          <w:rFonts w:ascii="Times New Roman" w:hAnsi="Times New Roman"/>
          <w:color w:val="000000"/>
          <w:sz w:val="22"/>
        </w:rPr>
        <w:t>million remaining in accrued liabilities on our condensed consolidated balance sheet for the second quarter restructuring costs.</w:t>
      </w:r>
    </w:p>
    <w:p>
      <w:pPr>
        <w:pStyle w:val="TextBody"/>
        <w:bidi w:val="0"/>
        <w:spacing w:before="220" w:after="283"/>
        <w:jc w:val="left"/>
        <w:rPr>
          <w:rFonts w:ascii="Times New Roman" w:hAnsi="Times New Roman"/>
          <w:sz w:val="20"/>
        </w:rPr>
      </w:pPr>
      <w:r>
        <w:rPr>
          <w:rFonts w:ascii="Times New Roman" w:hAnsi="Times New Roman"/>
          <w:color w:val="000000"/>
          <w:sz w:val="22"/>
        </w:rPr>
        <w:t>During the quarter ended May 31, 2026, we expensed $0.7</w:t>
      </w:r>
      <w:r>
        <w:rPr>
          <w:rFonts w:ascii="Times New Roman" w:hAnsi="Times New Roman"/>
          <w:color w:val="000000"/>
          <w:sz w:val="20"/>
        </w:rPr>
        <w:t xml:space="preserve"> </w:t>
      </w:r>
      <w:r>
        <w:rPr>
          <w:rFonts w:ascii="Times New Roman" w:hAnsi="Times New Roman"/>
          <w:color w:val="000000"/>
          <w:sz w:val="22"/>
        </w:rPr>
        <w:t>million of restructuring costs in connection with the long-term restructuring plan. These costs were primarily for severance and related expenses for 11</w:t>
      </w:r>
      <w:r>
        <w:rPr>
          <w:rFonts w:ascii="Times New Roman" w:hAnsi="Times New Roman"/>
          <w:color w:val="000000"/>
          <w:sz w:val="20"/>
        </w:rPr>
        <w:t xml:space="preserve"> </w:t>
      </w:r>
      <w:r>
        <w:rPr>
          <w:rFonts w:ascii="Times New Roman" w:hAnsi="Times New Roman"/>
          <w:color w:val="000000"/>
          <w:sz w:val="22"/>
        </w:rPr>
        <w:t>employees and are expected to be paid out over the next two quarters. Approximately $0.6</w:t>
      </w:r>
      <w:r>
        <w:rPr>
          <w:rFonts w:ascii="Times New Roman" w:hAnsi="Times New Roman"/>
          <w:color w:val="000000"/>
          <w:sz w:val="20"/>
        </w:rPr>
        <w:t xml:space="preserve"> </w:t>
      </w:r>
      <w:r>
        <w:rPr>
          <w:rFonts w:ascii="Times New Roman" w:hAnsi="Times New Roman"/>
          <w:color w:val="000000"/>
          <w:sz w:val="22"/>
        </w:rPr>
        <w:t>million of the restructuring charge was attributable to our International segment and $0.1</w:t>
      </w:r>
      <w:r>
        <w:rPr>
          <w:rFonts w:ascii="Times New Roman" w:hAnsi="Times New Roman"/>
          <w:color w:val="000000"/>
          <w:sz w:val="20"/>
        </w:rPr>
        <w:t xml:space="preserve"> </w:t>
      </w:r>
      <w:r>
        <w:rPr>
          <w:rFonts w:ascii="Times New Roman" w:hAnsi="Times New Roman"/>
          <w:color w:val="000000"/>
          <w:sz w:val="22"/>
        </w:rPr>
        <w:t>million was attributable to our North America segment. At May 31, 2026, we had $0.1</w:t>
      </w:r>
      <w:r>
        <w:rPr>
          <w:rFonts w:ascii="Times New Roman" w:hAnsi="Times New Roman"/>
          <w:color w:val="000000"/>
          <w:sz w:val="20"/>
        </w:rPr>
        <w:t xml:space="preserve"> </w:t>
      </w:r>
      <w:r>
        <w:rPr>
          <w:rFonts w:ascii="Times New Roman" w:hAnsi="Times New Roman"/>
          <w:color w:val="000000"/>
          <w:sz w:val="22"/>
        </w:rPr>
        <w:t>million included in accrued liabilities on our condensed consolidated balance sheet for these restructuring activities.</w:t>
      </w:r>
    </w:p>
    <w:p>
      <w:pPr>
        <w:pStyle w:val="TextBody"/>
        <w:bidi w:val="0"/>
        <w:spacing w:before="220" w:after="283"/>
        <w:jc w:val="left"/>
        <w:rPr/>
      </w:pPr>
      <w:r>
        <w:rPr/>
        <w:t> </w:t>
      </w:r>
    </w:p>
    <w:p>
      <w:pPr>
        <w:pStyle w:val="TextBody"/>
        <w:bidi w:val="0"/>
        <w:spacing w:before="2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NOTE 6 – EARNINGS (LOSS) PER SHARE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following schedule shows the calculation of net income (loss) per common share for the periods presented (in thousands, except per-share amounts).</w:t>
      </w:r>
    </w:p>
    <w:p>
      <w:pPr>
        <w:pStyle w:val="TextBody"/>
        <w:bidi w:val="0"/>
        <w:jc w:val="left"/>
        <w:rPr/>
      </w:pPr>
      <w:r>
        <w:rPr/>
        <w:t> </w:t>
      </w:r>
    </w:p>
    <w:tbl>
      <w:tblPr>
        <w:tblW w:w="10111" w:type="dxa"/>
        <w:jc w:val="left"/>
        <w:tblInd w:w="0" w:type="dxa"/>
        <w:tblLayout w:type="fixed"/>
        <w:tblCellMar>
          <w:top w:w="28" w:type="dxa"/>
          <w:left w:w="28" w:type="dxa"/>
          <w:bottom w:w="28" w:type="dxa"/>
          <w:right w:w="28" w:type="dxa"/>
        </w:tblCellMar>
      </w:tblPr>
      <w:tblGrid>
        <w:gridCol w:w="4186"/>
        <w:gridCol w:w="346"/>
        <w:gridCol w:w="346"/>
        <w:gridCol w:w="146"/>
        <w:gridCol w:w="601"/>
        <w:gridCol w:w="146"/>
        <w:gridCol w:w="146"/>
        <w:gridCol w:w="196"/>
        <w:gridCol w:w="146"/>
        <w:gridCol w:w="601"/>
        <w:gridCol w:w="166"/>
        <w:gridCol w:w="346"/>
        <w:gridCol w:w="346"/>
        <w:gridCol w:w="146"/>
        <w:gridCol w:w="601"/>
        <w:gridCol w:w="166"/>
        <w:gridCol w:w="146"/>
        <w:gridCol w:w="196"/>
        <w:gridCol w:w="146"/>
        <w:gridCol w:w="601"/>
        <w:gridCol w:w="391"/>
      </w:tblGrid>
      <w:tr>
        <w:trPr/>
        <w:tc>
          <w:tcPr>
            <w:tcW w:w="41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Numerator for basic and diluted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Denominator for basic and diluted income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 weighted average shares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dilutive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awards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 weighted average shares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EPS Calculations: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Since we incurred a net loss for the three quarters ended May 31, 2026, no</w:t>
      </w:r>
      <w:r>
        <w:rPr>
          <w:rFonts w:ascii="Times New Roman" w:hAnsi="Times New Roman"/>
          <w:color w:val="000000"/>
          <w:sz w:val="20"/>
        </w:rPr>
        <w:t xml:space="preserve"> </w:t>
      </w:r>
      <w:r>
        <w:rPr>
          <w:rFonts w:ascii="Times New Roman" w:hAnsi="Times New Roman"/>
          <w:color w:val="000000"/>
          <w:sz w:val="22"/>
        </w:rPr>
        <w:t>potentially dilutive securities are included in the calculation of net loss per share for that period because their inclusion would be anti-dilutive. The number of dilutive stock-based compensation awards for the three quarters ended May 31, 2026</w:t>
      </w:r>
      <w:r>
        <w:rPr>
          <w:rFonts w:ascii="Times New Roman" w:hAnsi="Times New Roman"/>
          <w:color w:val="000000"/>
          <w:sz w:val="20"/>
        </w:rPr>
        <w:t xml:space="preserve"> </w:t>
      </w:r>
      <w:r>
        <w:rPr>
          <w:rFonts w:ascii="Times New Roman" w:hAnsi="Times New Roman"/>
          <w:color w:val="000000"/>
          <w:sz w:val="22"/>
        </w:rPr>
        <w:t>would have been approximately 154,000</w:t>
      </w:r>
      <w:r>
        <w:rPr>
          <w:rFonts w:ascii="Times New Roman" w:hAnsi="Times New Roman"/>
          <w:color w:val="000000"/>
          <w:sz w:val="20"/>
        </w:rPr>
        <w:t xml:space="preserve"> </w:t>
      </w:r>
      <w:r>
        <w:rPr>
          <w:rFonts w:ascii="Times New Roman" w:hAnsi="Times New Roman"/>
          <w:color w:val="000000"/>
          <w:sz w:val="22"/>
        </w:rPr>
        <w:t>shares. The number of dilutive stock-based compensation awards for the quarter and three quarters ended May 31, 2025 was approximately 72,000</w:t>
      </w:r>
      <w:r>
        <w:rPr>
          <w:rFonts w:ascii="Times New Roman" w:hAnsi="Times New Roman"/>
          <w:color w:val="000000"/>
          <w:sz w:val="20"/>
        </w:rPr>
        <w:t xml:space="preserve"> </w:t>
      </w:r>
      <w:r>
        <w:rPr>
          <w:rFonts w:ascii="Times New Roman" w:hAnsi="Times New Roman"/>
          <w:color w:val="000000"/>
          <w:sz w:val="22"/>
        </w:rPr>
        <w:t>and 116,000, respectively.</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NOTE 7 – SEGMENT INFORMATION</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Segments</w:t>
      </w:r>
    </w:p>
    <w:p>
      <w:pPr>
        <w:pStyle w:val="TextBody"/>
        <w:bidi w:val="0"/>
        <w:spacing w:before="220" w:after="283"/>
        <w:jc w:val="left"/>
        <w:rPr>
          <w:rFonts w:ascii="Times New Roman" w:hAnsi="Times New Roman"/>
          <w:sz w:val="20"/>
        </w:rPr>
      </w:pPr>
      <w:r>
        <w:rPr>
          <w:rFonts w:ascii="Times New Roman" w:hAnsi="Times New Roman"/>
          <w:color w:val="000000"/>
          <w:sz w:val="22"/>
        </w:rPr>
        <w:t>Our revenues are primarily comprised of training and consulting services and our internal reporting and operating structure is currently organized around two</w:t>
      </w:r>
      <w:r>
        <w:rPr>
          <w:rFonts w:ascii="Times New Roman" w:hAnsi="Times New Roman"/>
          <w:color w:val="000000"/>
          <w:sz w:val="20"/>
        </w:rPr>
        <w:t xml:space="preserve"> </w:t>
      </w:r>
      <w:r>
        <w:rPr>
          <w:rFonts w:ascii="Times New Roman" w:hAnsi="Times New Roman"/>
          <w:color w:val="000000"/>
          <w:sz w:val="22"/>
        </w:rPr>
        <w:t>divisions: the Enterprise Division, which consists of our North America and International segments, and the Education Division, which is comprised of our Education practice. We have determined that our chief operating decision maker (CODM) continues to be the CEO. Beginning with the first quarter of fiscal 2026, our CODM began to manage our business, allocate resources, and evaluate performance based on changes that were made in the Company’s reporting and management structure. Accordingly, we realigned our reportable segments to those shown below.</w:t>
      </w:r>
    </w:p>
    <w:p>
      <w:pPr>
        <w:pStyle w:val="TextBody"/>
        <w:bidi w:val="0"/>
        <w:spacing w:before="220" w:after="283"/>
        <w:jc w:val="left"/>
        <w:rPr>
          <w:rFonts w:ascii="Times New Roman" w:hAnsi="Times New Roman"/>
          <w:sz w:val="20"/>
        </w:rPr>
      </w:pPr>
      <w:r>
        <w:rPr>
          <w:rFonts w:ascii="Times New Roman" w:hAnsi="Times New Roman"/>
          <w:color w:val="000000"/>
          <w:sz w:val="22"/>
        </w:rPr>
        <w:t>Our operations consist of three</w:t>
      </w:r>
      <w:r>
        <w:rPr>
          <w:rFonts w:ascii="Times New Roman" w:hAnsi="Times New Roman"/>
          <w:color w:val="000000"/>
          <w:sz w:val="20"/>
        </w:rPr>
        <w:t xml:space="preserve"> </w:t>
      </w:r>
      <w:r>
        <w:rPr>
          <w:rFonts w:ascii="Times New Roman" w:hAnsi="Times New Roman"/>
          <w:color w:val="000000"/>
          <w:sz w:val="22"/>
        </w:rPr>
        <w:t>operating and reportable segments as described below:</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 xml:space="preserve">North America – </w:t>
      </w:r>
      <w:r>
        <w:rPr>
          <w:rFonts w:ascii="Times New Roman" w:hAnsi="Times New Roman"/>
          <w:color w:val="000000"/>
          <w:sz w:val="22"/>
        </w:rPr>
        <w:t>Our North America segment has a depth of expertise in helping organizations solve problems that require changes in human behavior, including leadership, productivity, execution, trust, and sales performance. We have a variety of principle-based offerings that help build winning and profitable cultures. This segment includes our sales personnel and operations that serve the United States and Canada.</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 xml:space="preserve">International </w:t>
      </w:r>
      <w:r>
        <w:rPr>
          <w:color w:val="000000"/>
        </w:rPr>
        <w:t xml:space="preserve">– </w:t>
      </w:r>
      <w:r>
        <w:rPr>
          <w:rFonts w:ascii="Times New Roman" w:hAnsi="Times New Roman"/>
          <w:color w:val="000000"/>
          <w:sz w:val="22"/>
        </w:rPr>
        <w:t>Our International segment includes the operations of our international direct offices and international licensees. Our international direct offices provide the same offerings and content in countries outside of North America, which includes Australia, Austria, China, France, Germany, Ireland, Japan, New Zealand, Switzerland, and the United Kingdom. The independently owned international licensees provide our offerings and services in countries where we do not have a directly-owned office. Our licensee network allows us to expand the reach of our services to large multinational organizations as well as smaller organizations in their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 xml:space="preserve">Education Practice – </w:t>
      </w:r>
      <w:r>
        <w:rPr>
          <w:rFonts w:ascii="Times New Roman" w:hAnsi="Times New Roman"/>
          <w:color w:val="000000"/>
          <w:sz w:val="22"/>
        </w:rPr>
        <w:t>Centered around the principles found in the</w:t>
      </w:r>
      <w:r>
        <w:rPr>
          <w:color w:val="000000"/>
        </w:rPr>
        <w:t xml:space="preserve"> </w:t>
      </w:r>
      <w:r>
        <w:rPr>
          <w:rFonts w:ascii="Times New Roman" w:hAnsi="Times New Roman"/>
          <w:i/>
          <w:color w:val="000000"/>
          <w:sz w:val="22"/>
        </w:rPr>
        <w:t>Leader in Me</w:t>
      </w:r>
      <w:r>
        <w:rPr>
          <w:rFonts w:ascii="Times New Roman" w:hAnsi="Times New Roman"/>
          <w:color w:val="000000"/>
          <w:sz w:val="22"/>
        </w:rPr>
        <w:t>, the Education practice is dedicated to helping educational institutions build a culture that will produce great results. We believe these results are manifested by increases in student performance, improved school culture, decreased disciplinary issues, and increased teacher engagement and parental involvement. This segment includes our domestic and international Education practice operations, including our international education licensees, which are focused on sales to educational institutions such as elementary schools, middle schools, high schools, and colleges and universities.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Our reportable segments reflect the structure of the Company’s internal organization and the financial information the CODM regularly reviews to assess Company performance and allocate resources. The CODM reviews the performance of each segment using internal reports which provide variance analysis of actual results by segment compared to budget, forecast, and the prior year. The primary measurement tool used in segment performance analysis is Adjusted EBITDA, which may not be calculated as similarly titled amounts disclosed by other companies. The prior period segment information has been recast to conform with the new reporting segment presentation described above.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operations are not capital intensive and we do not own any manufacturing facilities or equipment. Accordingly, we do not allocate assets to the reportable segments for analysis purposes. Interest expense and interest income are primarily generated at the corporate level and are not allocated. Income taxes are likewise calculated and paid on a corporate level (except for entities that operate in foreign jurisdictions) and are not allocated for analysis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Other segment items in the following tables consist primarily of other normal operating expenses such as computer software subscription expense, advertising and promotion costs, travel and entertainment expenses, and necessary overhead costs such as legal and rent and utilities expense (in thousands).</w:t>
      </w:r>
    </w:p>
    <w:p>
      <w:pPr>
        <w:pStyle w:val="TextBody"/>
        <w:bidi w:val="0"/>
        <w:jc w:val="left"/>
        <w:rPr/>
      </w:pPr>
      <w:r>
        <w:rPr/>
        <w:t> </w:t>
      </w:r>
    </w:p>
    <w:tbl>
      <w:tblPr>
        <w:tblW w:w="7744" w:type="dxa"/>
        <w:jc w:val="left"/>
        <w:tblInd w:w="0" w:type="dxa"/>
        <w:tblLayout w:type="fixed"/>
        <w:tblCellMar>
          <w:top w:w="28" w:type="dxa"/>
          <w:left w:w="28" w:type="dxa"/>
          <w:bottom w:w="28" w:type="dxa"/>
          <w:right w:w="28" w:type="dxa"/>
        </w:tblCellMar>
      </w:tblPr>
      <w:tblGrid>
        <w:gridCol w:w="2431"/>
        <w:gridCol w:w="146"/>
        <w:gridCol w:w="196"/>
        <w:gridCol w:w="146"/>
        <w:gridCol w:w="601"/>
        <w:gridCol w:w="146"/>
        <w:gridCol w:w="146"/>
        <w:gridCol w:w="196"/>
        <w:gridCol w:w="193"/>
        <w:gridCol w:w="798"/>
        <w:gridCol w:w="146"/>
        <w:gridCol w:w="146"/>
        <w:gridCol w:w="196"/>
        <w:gridCol w:w="158"/>
        <w:gridCol w:w="653"/>
        <w:gridCol w:w="146"/>
        <w:gridCol w:w="146"/>
        <w:gridCol w:w="196"/>
        <w:gridCol w:w="146"/>
        <w:gridCol w:w="601"/>
        <w:gridCol w:w="21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North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Segment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May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67,074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Associate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33,184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Unallocated corporate expenses</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Restructuring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Other revenues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67,807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North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Segment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May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65,906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Associate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Unallocated corporate expenses</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Restructuring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Other revenues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67,121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8209" w:type="dxa"/>
        <w:jc w:val="left"/>
        <w:tblInd w:w="0" w:type="dxa"/>
        <w:tblLayout w:type="fixed"/>
        <w:tblCellMar>
          <w:top w:w="28" w:type="dxa"/>
          <w:left w:w="28" w:type="dxa"/>
          <w:bottom w:w="28" w:type="dxa"/>
          <w:right w:w="28" w:type="dxa"/>
        </w:tblCellMar>
      </w:tblPr>
      <w:tblGrid>
        <w:gridCol w:w="2716"/>
        <w:gridCol w:w="146"/>
        <w:gridCol w:w="196"/>
        <w:gridCol w:w="146"/>
        <w:gridCol w:w="691"/>
        <w:gridCol w:w="146"/>
        <w:gridCol w:w="146"/>
        <w:gridCol w:w="196"/>
        <w:gridCol w:w="193"/>
        <w:gridCol w:w="798"/>
        <w:gridCol w:w="146"/>
        <w:gridCol w:w="146"/>
        <w:gridCol w:w="196"/>
        <w:gridCol w:w="158"/>
        <w:gridCol w:w="653"/>
        <w:gridCol w:w="146"/>
        <w:gridCol w:w="146"/>
        <w:gridCol w:w="196"/>
        <w:gridCol w:w="146"/>
        <w:gridCol w:w="691"/>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Three Quarters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North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Segment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May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189,763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Associate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99,686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Unallocated corporate expenses</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Restructuring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license obligation restructure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before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Reconciliation of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Other revenues</w:t>
            </w:r>
            <w:r>
              <w:rPr>
                <w:rFonts w:ascii="Times New Roman" w:hAnsi="Times New Roman"/>
                <w:color w:val="000000"/>
                <w:sz w:val="11"/>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Three Quarters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North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Segment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May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Associate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102,834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Unallocated corporate expenses</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Restructuring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Segment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Other revenues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195,819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Unallocated corporate expenses primarily consist of administrative overhead expenses.</w:t>
      </w:r>
    </w:p>
    <w:p>
      <w:pPr>
        <w:pStyle w:val="TextBody"/>
        <w:bidi w:val="0"/>
        <w:jc w:val="left"/>
        <w:rPr>
          <w:rFonts w:ascii="Times New Roman" w:hAnsi="Times New Roman"/>
          <w:sz w:val="20"/>
        </w:rPr>
      </w:pPr>
      <w:r>
        <w:rPr>
          <w:rFonts w:ascii="Times New Roman" w:hAnsi="Times New Roman"/>
          <w:color w:val="000000"/>
          <w:sz w:val="15"/>
        </w:rPr>
        <w:t>(2)</w:t>
      </w:r>
      <w:r>
        <w:rPr>
          <w:rFonts w:ascii="Times New Roman" w:hAnsi="Times New Roman"/>
          <w:color w:val="000000"/>
          <w:sz w:val="20"/>
        </w:rPr>
        <w:t xml:space="preserve"> </w:t>
      </w:r>
      <w:r>
        <w:rPr>
          <w:rFonts w:ascii="Times New Roman" w:hAnsi="Times New Roman"/>
          <w:color w:val="000000"/>
          <w:sz w:val="22"/>
        </w:rPr>
        <w:t>Other revenues consist of shipping and handling revenue, leasing revenue (in fiscal 2025), and royalty revenue from Franklin Planner Corp.</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Disaggregated Revenue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following table presents our revenue disaggregated by geographic region (in thousands).</w:t>
      </w:r>
    </w:p>
    <w:p>
      <w:pPr>
        <w:pStyle w:val="TextBody"/>
        <w:bidi w:val="0"/>
        <w:jc w:val="left"/>
        <w:rPr/>
      </w:pPr>
      <w:r>
        <w:rPr/>
        <w:t> </w:t>
      </w:r>
    </w:p>
    <w:tbl>
      <w:tblPr>
        <w:tblW w:w="7191" w:type="dxa"/>
        <w:jc w:val="left"/>
        <w:tblInd w:w="0" w:type="dxa"/>
        <w:tblLayout w:type="fixed"/>
        <w:tblCellMar>
          <w:top w:w="28" w:type="dxa"/>
          <w:left w:w="28" w:type="dxa"/>
          <w:bottom w:w="28" w:type="dxa"/>
          <w:right w:w="28" w:type="dxa"/>
        </w:tblCellMar>
      </w:tblPr>
      <w:tblGrid>
        <w:gridCol w:w="2026"/>
        <w:gridCol w:w="146"/>
        <w:gridCol w:w="196"/>
        <w:gridCol w:w="146"/>
        <w:gridCol w:w="601"/>
        <w:gridCol w:w="146"/>
        <w:gridCol w:w="146"/>
        <w:gridCol w:w="196"/>
        <w:gridCol w:w="146"/>
        <w:gridCol w:w="601"/>
        <w:gridCol w:w="146"/>
        <w:gridCol w:w="146"/>
        <w:gridCol w:w="196"/>
        <w:gridCol w:w="146"/>
        <w:gridCol w:w="691"/>
        <w:gridCol w:w="146"/>
        <w:gridCol w:w="146"/>
        <w:gridCol w:w="196"/>
        <w:gridCol w:w="146"/>
        <w:gridCol w:w="69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Europe/Middle East/Africa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The following table presents our revenue disaggregated by our significant revenue generating activities. Sales of services and products include training and consulting services and related products such as training manuals and contractually committed materials and services sold in connection with an All Access Pass or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 xml:space="preserve">membership. Subscription revenue includes sales of our subscription services such as the All Access Pass and </w:t>
      </w:r>
      <w:r>
        <w:rPr>
          <w:rFonts w:ascii="Times New Roman" w:hAnsi="Times New Roman"/>
          <w:i/>
          <w:color w:val="000000"/>
          <w:sz w:val="22"/>
        </w:rPr>
        <w:t xml:space="preserve">Leader in Me </w:t>
      </w:r>
      <w:r>
        <w:rPr>
          <w:rFonts w:ascii="Times New Roman" w:hAnsi="Times New Roman"/>
          <w:color w:val="000000"/>
          <w:sz w:val="22"/>
        </w:rPr>
        <w:t xml:space="preserve">membership, including Education training and coaching days which are contracted with the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membership. We receive royalty revenue from our international licensees and from other sources such as book publishing arrangements. Corporate royalties are amounts received from Franklin Planner Co. pursuant to a licensing arrangement. Leases and Other revenue is primarily comprised of fiscal 2025 lease revenues from sub-leases for space at our previous corporate headquarters campus and from shipping and handling revenues (in thousands)</w:t>
      </w:r>
      <w:r>
        <w:rPr>
          <w:rFonts w:ascii="Times New Roman" w:hAnsi="Times New Roman"/>
          <w:color w:val="000000"/>
          <w:sz w:val="20"/>
        </w:rPr>
        <w:t>.</w:t>
      </w:r>
    </w:p>
    <w:p>
      <w:pPr>
        <w:pStyle w:val="TextBody"/>
        <w:bidi w:val="0"/>
        <w:jc w:val="left"/>
        <w:rPr/>
      </w:pPr>
      <w:r>
        <w:rPr/>
        <w:t> </w:t>
      </w:r>
    </w:p>
    <w:tbl>
      <w:tblPr>
        <w:tblW w:w="9995" w:type="dxa"/>
        <w:jc w:val="left"/>
        <w:tblInd w:w="0" w:type="dxa"/>
        <w:tblLayout w:type="fixed"/>
        <w:tblCellMar>
          <w:top w:w="28" w:type="dxa"/>
          <w:left w:w="28" w:type="dxa"/>
          <w:bottom w:w="28" w:type="dxa"/>
          <w:right w:w="28" w:type="dxa"/>
        </w:tblCellMar>
      </w:tblPr>
      <w:tblGrid>
        <w:gridCol w:w="2701"/>
        <w:gridCol w:w="246"/>
        <w:gridCol w:w="246"/>
        <w:gridCol w:w="190"/>
        <w:gridCol w:w="785"/>
        <w:gridCol w:w="146"/>
        <w:gridCol w:w="146"/>
        <w:gridCol w:w="196"/>
        <w:gridCol w:w="170"/>
        <w:gridCol w:w="806"/>
        <w:gridCol w:w="146"/>
        <w:gridCol w:w="146"/>
        <w:gridCol w:w="196"/>
        <w:gridCol w:w="146"/>
        <w:gridCol w:w="601"/>
        <w:gridCol w:w="146"/>
        <w:gridCol w:w="146"/>
        <w:gridCol w:w="196"/>
        <w:gridCol w:w="190"/>
        <w:gridCol w:w="665"/>
        <w:gridCol w:w="146"/>
        <w:gridCol w:w="146"/>
        <w:gridCol w:w="196"/>
        <w:gridCol w:w="175"/>
        <w:gridCol w:w="831"/>
        <w:gridCol w:w="291"/>
      </w:tblGrid>
      <w:tr>
        <w:trPr/>
        <w:tc>
          <w:tcPr>
            <w:tcW w:w="27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Services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Quarter Ended May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Subscription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Royalties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Consolidated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Division:</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 America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International</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10,052</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48,076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Education practice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18,998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Consolidated</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37,966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67,807</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Quarter Ended May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Division:</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 America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International</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10,212</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Education practice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Consolidated</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67,121</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Three Quarters Ended May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Division:</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 America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International</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30,410</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Education practice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52,590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Consolidated</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66,910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111,155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191,499</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Three Quarters Ended May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Division:</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 America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International</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30,685</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Education practice</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50,169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Consolidated</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71,731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108,808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195,819</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2"/>
        </w:rPr>
      </w:pPr>
      <w:bookmarkStart w:id="10" w:name="mda"/>
      <w:bookmarkEnd w:id="10"/>
      <w:r>
        <w:rPr>
          <w:rFonts w:ascii="Times New Roman" w:hAnsi="Times New Roman"/>
          <w:color w:val="000000"/>
          <w:sz w:val="22"/>
        </w:rPr>
        <w:t>ITEM 2. MANAGEMENT’S DISCUSSION AND ANALYSIS OF FINANCIAL CONDITION AND RESULTS OF OPERATIONS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Management’s discussion and analysis of financial condition and results of operations (Management’s Discussion and Analysis) contains forward-looking statements within the meaning of the Private Securities Litigation Reform Act of 1995. These statements are based upon management’s current expectations and are subject to various uncertainties and changes in circumstances. Important factors that could cause actual results to differ materially from those described in forward-looking statements are set forth below under the heading “Safe Harbor Statement Under the Private Securities Litigation Reform Act of 1995.”</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suggest that the following discussion and analysis be read in conjunction with the Consolidated Financial Statements and Management’s Discussion and Analysis of Financial Condition and Results of Operations included in our Annual Report.</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Non-GAAP Measures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This Management’s Discussion and Analysis includes the concept of Adjusted EBITDA, which is a non-GAAP financial measure. We define Adjusted EBITDA as net income or loss excluding the impact of interest, income taxes, intangible asset amortization, depreciation, stock-based compensation expense, and certain other items such as restructuring costs. We reference this non-GAAP measure in our decision making because it provides supplemental information that facilitates consistent internal comparisons to the operating performance of prior periods and we believe it provides investors with greater transparency to evaluate our operational activities and financial results. For a reconciliation of our reportable segment Adjusted EBITDA to income or loss before income taxes, a related GAAP measure, refer to Note 7, </w:t>
      </w:r>
      <w:r>
        <w:rPr>
          <w:rFonts w:ascii="Times New Roman" w:hAnsi="Times New Roman"/>
          <w:i/>
          <w:color w:val="000000"/>
          <w:sz w:val="22"/>
        </w:rPr>
        <w:t>Segment Information,</w:t>
      </w:r>
      <w:r>
        <w:rPr>
          <w:rFonts w:ascii="Times New Roman" w:hAnsi="Times New Roman"/>
          <w:color w:val="000000"/>
          <w:sz w:val="20"/>
        </w:rPr>
        <w:t xml:space="preserve"> </w:t>
      </w:r>
      <w:r>
        <w:rPr>
          <w:rFonts w:ascii="Times New Roman" w:hAnsi="Times New Roman"/>
          <w:color w:val="000000"/>
          <w:sz w:val="22"/>
        </w:rPr>
        <w:t>to our unaudited condensed consolidated financial statements.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RESULTS OF OPERATIONS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Overview</w:t>
      </w:r>
    </w:p>
    <w:p>
      <w:pPr>
        <w:pStyle w:val="TextBody"/>
        <w:bidi w:val="0"/>
        <w:spacing w:before="220" w:after="283"/>
        <w:jc w:val="left"/>
        <w:rPr>
          <w:rFonts w:ascii="Times New Roman" w:hAnsi="Times New Roman"/>
          <w:sz w:val="20"/>
        </w:rPr>
      </w:pPr>
      <w:r>
        <w:rPr>
          <w:rFonts w:ascii="Times New Roman" w:hAnsi="Times New Roman"/>
          <w:color w:val="000000"/>
          <w:sz w:val="22"/>
        </w:rPr>
        <w:t>Franklin Covey Co., a global leadership and organizational performance company, gives strategy the human edge. Our mission is to “enable greatness in people and organizations everywhere,” and our worldwide resources are organized to help clients achieve breakthrough results and transform how they execute strategy at scale. We believe that our content and services create the connection between capabilities and results. Our business is currently structured around two divisions, the Enterprise Division and the Education Division, which are driven to develop high-performing leaders at all levels of the organization and align people around purpose and priorities. The Enterprise Division consists of our North America and International segments and is focused on selling our offerings to corporations, governments, not-for-profits, and other related organizations. Our Education Division is centered around the principles found in the</w:t>
      </w:r>
      <w:r>
        <w:rPr>
          <w:rFonts w:ascii="Times New Roman" w:hAnsi="Times New Roman"/>
          <w:color w:val="000000"/>
          <w:sz w:val="20"/>
        </w:rPr>
        <w:t xml:space="preserve">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and is dedicated to helping educational institutions build cultures that will produce great results, including increased student performance, improved school culture, and increased parental and teacher involvement.</w:t>
      </w:r>
    </w:p>
    <w:p>
      <w:pPr>
        <w:pStyle w:val="TextBody"/>
        <w:bidi w:val="0"/>
        <w:spacing w:before="220" w:after="283"/>
        <w:jc w:val="left"/>
        <w:rPr>
          <w:rFonts w:ascii="Times New Roman" w:hAnsi="Times New Roman"/>
          <w:sz w:val="20"/>
        </w:rPr>
      </w:pPr>
      <w:r>
        <w:rPr>
          <w:rFonts w:ascii="Times New Roman" w:hAnsi="Times New Roman"/>
          <w:color w:val="000000"/>
          <w:sz w:val="22"/>
        </w:rPr>
        <w:t>For Franklin Covey, fiscal 2025 was a year of transition and transformation as we initiated a new go-to-market and sales strategy in North America. In addition, our fiscal 2025 results of operations were adversely impacted by various macroeconomic factors, including reduced U.S. federal government spending and geopolitical tensions that produced instability in certain regions of the world. This resulted in a reduction of invoiced amounts and net revenue for fiscal 2025, which will continue to impact fiscal 2026 as we recognize a lower base of previously deferred revenue. Despite these headwinds, we have retained the vast majority of our client base and now with the bulk of our revenue-generating transformation investments nearly completed, we believe these efforts are beginning to produce growth in invoiced amounts in fiscal 2026. We view fiscal 2026 to be a year of execution, generating solid growth of invoiced amounts in Enterprise North America, and believe fiscal 2027 will continue the momentum and provide increased reported revenue, Adjusted EBITDA, and cash flow. We believe the transformative investments made in our Enterprise North America go-to-market strategy plus our continued investments in content and technology position us for meaningful growth in the future.</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color w:val="000000"/>
          <w:sz w:val="22"/>
        </w:rPr>
        <w:t>During the third quarter of fiscal 2026, we continued to be encouraged by growth in Enterprise North America invoiced amounts, which also saw growth in the first half of fiscal 2026. The Education Division also saw invoiced growth during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the third quarter despite an unexpected budget reduction for education spending in a state which has a state-wide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initiative. We believe invoiced amounts are a primary lead metric that demonstrates the positive momentum building from our go-to-market investments. In the third quarter of fiscal 2026, we were able to translate this operational momentum into increased revenue and Adjusted EBITDA compared with the prior year.</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consolidated revenue for the quarter ended May 31, 2026, increased 1% to $67.8 million compared with $67.1 million in the prior year, and reflected increased invoiced amounts and increased subscription revenue. Revenue growth in the third quarter was partially offset by a $0.5 million decrease in sublease revenue following the exit from our previous headquarters campus. Foreign exchange rates had a $0.3 million favorable impact on our consolidated revenues and an insignificant impact on operating results and Adjusted EBITDA in the third quarter of fiscal 2026. The Company’s revenue performance for the quarter ended May 31, 2026, included the following key metrics: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Enterprise Division revenues for the third quarter of fiscal 2026 increased 2% to $48.1 million compared with $47.3 million in fiscal 2025. Enterprise Division revenue performance benefitted from a $1.0 million increase in North America segment revenues, which were partially offset by decreased International segment revenues in the quarter. Revenue performance in our North America segment was favorably impacted by increased invoiced amounts in the first half of fiscal 2026, but growth was still muted by the effects of canceled government contracts, geopolitical tensions, and other macroeconomic difficulties, which significantly lowered invoiced amounts in fiscal 2025 and continues to impact revenue in fiscal 2026 as we recognize previously deferred amounts. Despite ongoing uncertainties and difficulties in the macroeconomic environment, we were encouraged by continued growth in invoiced amounts in the North America segment in the first three quarters of fiscal 2026.</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20" w:after="283"/>
        <w:jc w:val="left"/>
        <w:rPr/>
      </w:pPr>
      <w:r>
        <w:rPr>
          <w:rFonts w:ascii="Times New Roman" w:hAnsi="Times New Roman"/>
          <w:color w:val="000000"/>
          <w:sz w:val="22"/>
        </w:rPr>
        <w:t>Education Division revenues in the third quarter of fiscal 2026 increased 2% to $19.0 million compared with the third quarter of fiscal 2025. The increase in Education Division rev</w:t>
      </w:r>
      <w:r>
        <w:rPr>
          <w:rFonts w:ascii="Times New Roman" w:hAnsi="Times New Roman"/>
          <w:color w:val="000000"/>
          <w:sz w:val="20"/>
        </w:rPr>
        <w:t>enu</w:t>
      </w:r>
      <w:r>
        <w:rPr>
          <w:rFonts w:ascii="Times New Roman" w:hAnsi="Times New Roman"/>
          <w:color w:val="000000"/>
          <w:sz w:val="22"/>
        </w:rPr>
        <w:t>e was primarily due to increased subscription revenue, which was partially offset by decreased classroom and training materials sales. Education Division subscription revenue increased by 11% primarily due to the delivery of more training and coaching days. Total training and coaching days delivered in the third quarter increased by over 200 days compared with fiscal 2025. The decrease in classroom and training materials was primarily due to state-wide initiatives in fiscal 2025 that did not repeat as a result of budget cuts or did not repeat at the same level due to the timing of implementation compared with the prior year. Sharp reductions in the funding for health and human services and education initiatives in one of the states had a significant adverse impact on our third quarter revenue and invoiced amounts. While we remain hopeful that some of these funds will be restored in future periods, the timing and amount of this restored governmental funding remains uncertain.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Consolidated subscription and subscription services revenues for the third quarter of fiscal 2026 totaled $57.5 million compared with $57.7 million in the third quarter of fiscal 2025. For the quarter ended May 31, 2026, subscription and contractually committed invoiced amounts increased $5.3 million, or 17%, to $37.0 million compared with $31.7 million in the same period of fiscal 2025.</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Consolidated deferred revenue on May 31, 2026, increased $6.7 million, or 7%, to $96.0 million compared with $89.3 million on May 31, 2025.</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As of May 31, 2026, 59% of our North America AAP contracts are for at least two years, compared with 58% at May 31, 2025, and the percentage of contracted amounts represented by multi-year contracts was 60% compared with 62% at May 31, 2025.</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Unbilled deferred revenue on May 31, 2026, was $61.1 million compared with $62.0 million on May 31, 2025. Unbilled deferred revenue represents business that is contracted, but unbilled and therefore excluded from our balance sheet.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following is a summary of other unaudited consolidated financial information from the third quarter of fiscal 2026, which ended on May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Cost of Revenue/Gross Profit</w:t>
      </w:r>
      <w:r>
        <w:rPr>
          <w:color w:val="000000"/>
        </w:rPr>
        <w:t xml:space="preserve"> – </w:t>
      </w:r>
      <w:r>
        <w:rPr>
          <w:rFonts w:ascii="Times New Roman" w:hAnsi="Times New Roman"/>
          <w:color w:val="000000"/>
          <w:sz w:val="22"/>
        </w:rPr>
        <w:t>For the quarter ended May 31, 2026, our cost of revenue totaled $17.7 million compared with $15.8 million in the prior year. Gross profit in the third quarter of fiscal 2026 was $50.1 million compared with $51.3 million in the prior year. The decrease in gross profit was primarily due to increased costs which led to a decline in our gross margin to 73.9% of revenue compared with 76.5% in the prior year. The decrease in our gross margin was primarily due to increased costs related to the delivery of training and coaching services, a change in the mix of services delivered and products sold during the quarter, and increased amortization of capitalized curriculum expense.</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Operating Expenses</w:t>
      </w:r>
      <w:r>
        <w:rPr>
          <w:color w:val="000000"/>
        </w:rPr>
        <w:t xml:space="preserve"> – </w:t>
      </w:r>
      <w:r>
        <w:rPr>
          <w:rFonts w:ascii="Times New Roman" w:hAnsi="Times New Roman"/>
          <w:color w:val="000000"/>
          <w:sz w:val="22"/>
        </w:rPr>
        <w:t>Our operating expenses for the quarter ended May 31, 2026 totaled $45.9 million, a $7.6 million decrease compared with the prior year. Reduced operating expenses were primarily the result of a $4.0 million reduction in restructuring charges and a $3.0 million decrease in selling, general, and administrative (SG&amp;A) expenses, including a $0.7 million decrease in stock-based compensation. While we continued to execute on the long-term restructuring plan initiated in the second quarter of fiscal 2026, our restructuring activities were significantly less than in the third quarter of the prior year. SG&amp;A expenses decreased primarily from ongoing restructuring and cost reduction activities which had a favorable impact on various areas of our operations.</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Income Taxes –</w:t>
      </w:r>
      <w:r>
        <w:rPr>
          <w:color w:val="000000"/>
        </w:rPr>
        <w:t xml:space="preserve"> </w:t>
      </w:r>
      <w:r>
        <w:rPr>
          <w:rFonts w:ascii="Times New Roman" w:hAnsi="Times New Roman"/>
          <w:color w:val="000000"/>
          <w:sz w:val="22"/>
        </w:rPr>
        <w:t>Our income tax provision for the quarter ended May 31, 2026, was $1.1 million on pre-tax income of $4.2 million, for an effective tax rate of 25.9%. In the third quarter of fiscal 2025, our income tax benefit was $0.7 million on a pre-tax loss of $(2.1) million, for an effective tax benefit rate of 33.8%. The effective tax rate for the third quarter of fiscal 2026 was lower than the effective tax benefit rate for the third quarter of the prior year primarily due to the impact of creditable foreign taxes.</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Net Income and Adjusted EBITDA</w:t>
      </w:r>
      <w:r>
        <w:rPr>
          <w:color w:val="000000"/>
        </w:rPr>
        <w:t xml:space="preserve"> – </w:t>
      </w:r>
      <w:r>
        <w:rPr>
          <w:rFonts w:ascii="Times New Roman" w:hAnsi="Times New Roman"/>
          <w:color w:val="000000"/>
          <w:sz w:val="22"/>
        </w:rPr>
        <w:t>For the third quarter of fiscal 2026, we recognized net income of $3.1 million, or $0.27 per diluted share, compared with a net loss of $(1.4) million, or $(0.11) per share, in the third quarter of fiscal 2025, reflecting the factors previously discussed. Our Adjusted EBITDA for the quarter ended May 31, 2026, increased $1.0 million, or 14%, to $8.3 million compared with $7.3 million in fiscal 2025. Foreign exchange rates had a $0.3 million favorable impact on our Adjusted EBITDA for the quarter ended May 31, 2026.</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Times New Roman" w:hAnsi="Times New Roman"/>
          <w:b/>
          <w:i/>
          <w:color w:val="000000"/>
          <w:sz w:val="22"/>
        </w:rPr>
        <w:t xml:space="preserve">Liquidity and Financial Position – </w:t>
      </w:r>
      <w:r>
        <w:rPr>
          <w:rFonts w:ascii="Times New Roman" w:hAnsi="Times New Roman"/>
          <w:color w:val="000000"/>
          <w:sz w:val="22"/>
        </w:rPr>
        <w:t>Our liquidity and financial position remained strong throughout the first three quarters of fiscal 2026. At May 31, 2026, we had over $74 million of available liquidity which consisted of $12.0 million of cash and our full available $62.5 million line of credit even after using $28.1 million of cash to purchase shares of our common stock for treasury during the first three quarters of fiscal 2026.</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Further details regarding our results for the quarter and three quarters ended May 31, 2026, are provided throughout the following Management’s Discussion and Analysis.</w:t>
      </w:r>
    </w:p>
    <w:p>
      <w:pPr>
        <w:pStyle w:val="TextBody"/>
        <w:bidi w:val="0"/>
        <w:spacing w:before="220" w:after="283"/>
        <w:jc w:val="left"/>
        <w:rPr>
          <w:rFonts w:ascii="Times New Roman" w:hAnsi="Times New Roman"/>
          <w:b/>
          <w:color w:val="000000"/>
          <w:sz w:val="22"/>
          <w:u w:val="single"/>
        </w:rPr>
      </w:pPr>
      <w:r>
        <w:rPr>
          <w:rFonts w:ascii="Times New Roman" w:hAnsi="Times New Roman"/>
          <w:b/>
          <w:color w:val="000000"/>
          <w:sz w:val="22"/>
          <w:u w:val="single"/>
        </w:rPr>
        <w:t>Segment Results of Operations and Analysis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Enterprise Division</w:t>
      </w:r>
    </w:p>
    <w:p>
      <w:pPr>
        <w:pStyle w:val="TextBody"/>
        <w:bidi w:val="0"/>
        <w:spacing w:before="220" w:after="283"/>
        <w:jc w:val="left"/>
        <w:rPr>
          <w:rFonts w:ascii="Times New Roman" w:hAnsi="Times New Roman"/>
          <w:i/>
          <w:color w:val="000000"/>
          <w:sz w:val="22"/>
          <w:u w:val="single"/>
        </w:rPr>
      </w:pPr>
      <w:r>
        <w:rPr>
          <w:rFonts w:ascii="Times New Roman" w:hAnsi="Times New Roman"/>
          <w:i/>
          <w:color w:val="000000"/>
          <w:sz w:val="22"/>
          <w:u w:val="single"/>
        </w:rPr>
        <w:t>North America Segment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North America segment includes our personnel that serve clients in the United States and Canada. The following third quarter comparative information is for our North America segment in the periods indicated (in thousands):</w:t>
      </w:r>
    </w:p>
    <w:p>
      <w:pPr>
        <w:pStyle w:val="TextBody"/>
        <w:bidi w:val="0"/>
        <w:jc w:val="left"/>
        <w:rPr/>
      </w:pPr>
      <w:r>
        <w:rPr/>
        <w:t> </w:t>
      </w:r>
    </w:p>
    <w:tbl>
      <w:tblPr>
        <w:tblW w:w="7895" w:type="dxa"/>
        <w:jc w:val="left"/>
        <w:tblInd w:w="0" w:type="dxa"/>
        <w:tblLayout w:type="fixed"/>
        <w:tblCellMar>
          <w:top w:w="28" w:type="dxa"/>
          <w:left w:w="28" w:type="dxa"/>
          <w:bottom w:w="28" w:type="dxa"/>
          <w:right w:w="28" w:type="dxa"/>
        </w:tblCellMar>
      </w:tblPr>
      <w:tblGrid>
        <w:gridCol w:w="1471"/>
        <w:gridCol w:w="146"/>
        <w:gridCol w:w="196"/>
        <w:gridCol w:w="223"/>
        <w:gridCol w:w="917"/>
        <w:gridCol w:w="146"/>
        <w:gridCol w:w="146"/>
        <w:gridCol w:w="146"/>
        <w:gridCol w:w="511"/>
        <w:gridCol w:w="146"/>
        <w:gridCol w:w="146"/>
        <w:gridCol w:w="196"/>
        <w:gridCol w:w="223"/>
        <w:gridCol w:w="917"/>
        <w:gridCol w:w="146"/>
        <w:gridCol w:w="146"/>
        <w:gridCol w:w="146"/>
        <w:gridCol w:w="511"/>
        <w:gridCol w:w="146"/>
        <w:gridCol w:w="146"/>
        <w:gridCol w:w="196"/>
        <w:gridCol w:w="146"/>
        <w:gridCol w:w="571"/>
        <w:gridCol w:w="21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following comparative year-to-date information is for our North America segment in the periods indicated (in thousands):</w:t>
      </w:r>
    </w:p>
    <w:p>
      <w:pPr>
        <w:pStyle w:val="TextBody"/>
        <w:bidi w:val="0"/>
        <w:jc w:val="left"/>
        <w:rPr/>
      </w:pPr>
      <w:r>
        <w:rPr/>
        <w:t> </w:t>
      </w:r>
    </w:p>
    <w:tbl>
      <w:tblPr>
        <w:tblW w:w="7955" w:type="dxa"/>
        <w:jc w:val="left"/>
        <w:tblInd w:w="0" w:type="dxa"/>
        <w:tblLayout w:type="fixed"/>
        <w:tblCellMar>
          <w:top w:w="28" w:type="dxa"/>
          <w:left w:w="28" w:type="dxa"/>
          <w:bottom w:w="28" w:type="dxa"/>
          <w:right w:w="28" w:type="dxa"/>
        </w:tblCellMar>
      </w:tblPr>
      <w:tblGrid>
        <w:gridCol w:w="1471"/>
        <w:gridCol w:w="146"/>
        <w:gridCol w:w="196"/>
        <w:gridCol w:w="204"/>
        <w:gridCol w:w="966"/>
        <w:gridCol w:w="146"/>
        <w:gridCol w:w="146"/>
        <w:gridCol w:w="146"/>
        <w:gridCol w:w="511"/>
        <w:gridCol w:w="146"/>
        <w:gridCol w:w="146"/>
        <w:gridCol w:w="196"/>
        <w:gridCol w:w="204"/>
        <w:gridCol w:w="966"/>
        <w:gridCol w:w="146"/>
        <w:gridCol w:w="146"/>
        <w:gridCol w:w="146"/>
        <w:gridCol w:w="511"/>
        <w:gridCol w:w="146"/>
        <w:gridCol w:w="146"/>
        <w:gridCol w:w="196"/>
        <w:gridCol w:w="146"/>
        <w:gridCol w:w="571"/>
        <w:gridCol w:w="21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Revenue.</w:t>
      </w:r>
      <w:r>
        <w:rPr>
          <w:rFonts w:ascii="Times New Roman" w:hAnsi="Times New Roman"/>
          <w:color w:val="000000"/>
          <w:sz w:val="20"/>
        </w:rPr>
        <w:t xml:space="preserve"> </w:t>
      </w:r>
      <w:r>
        <w:rPr>
          <w:rFonts w:ascii="Times New Roman" w:hAnsi="Times New Roman"/>
          <w:color w:val="000000"/>
          <w:sz w:val="22"/>
        </w:rPr>
        <w:t>For the quarter ended May 31, 2026,</w:t>
      </w:r>
      <w:r>
        <w:rPr>
          <w:rFonts w:ascii="Times New Roman" w:hAnsi="Times New Roman"/>
          <w:color w:val="000000"/>
          <w:sz w:val="20"/>
        </w:rPr>
        <w:t xml:space="preserve"> </w:t>
      </w:r>
      <w:r>
        <w:rPr>
          <w:rFonts w:ascii="Times New Roman" w:hAnsi="Times New Roman"/>
          <w:color w:val="000000"/>
          <w:sz w:val="22"/>
        </w:rPr>
        <w:t>North America segment revenue increased 3%, or $1.0 million, to $38.0 million. North America segment revenues were positively impacted by higher service revenue which was partially offset by lower recognized subscription revenue. Revenue from services and products for the third quarter of fiscal 2026 was $15.4 million, which was 9%, or $1.2 million, higher than the prior year. Revenue from subscription offerings totaled $22.0 million, which was 2%, or $0.5 million lower than the third quarter of fiscal 2025. Lower subscription revenues were primarily due to lower subscription invoiced amounts generated in prior periods. During the third quarter of fiscal 2026, North America subscription plus subscription services revenues were $34.3 million compared with $35.4 million in the prior year. However, we were encouraged by the overall growth in North America segment invoiced amounts during the third quarter, which totaled $36.7 million and was 4% higher than the amount invoiced in the third quarter of fiscal 2025.</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North America segment revenue for the three quarters ended May 31, 2026 decreased 4%, or $4.9 million, to $106.8 million. The decrease was primarily due to decreased subscription revenue and decreased service and products revenue. For the first three quarters of fiscal 2026, North America subscription plus subscription serviced revenues were $97.4 million, which was 6%, or $6.0 million, lower than the same period of fiscal 2025. However, invoiced amounts for the first three quarters of fiscal 2026 totaled $114.3 million, which was 6%, or $6.6 million, higher than the same period of the prior year. These invoiced amounts have added to our strong base of deferred revenue which will be recognized as revenue in future periods.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remain optimistic about the expected results of our new North America go-to-market strategy as our new North America sales structure is in place and executing on its directives. However, the continued uncertain macroeconomic environment may prevent us from achieving expected sales goals during fiscal 2026. Foreign exchange rates had an insignificant impact on North America revenues and operating results during the third quarter of fiscal 2026.</w:t>
      </w:r>
    </w:p>
    <w:p>
      <w:pPr>
        <w:pStyle w:val="TextBody"/>
        <w:bidi w:val="0"/>
        <w:spacing w:before="220" w:after="283"/>
        <w:jc w:val="left"/>
        <w:rPr>
          <w:rFonts w:ascii="Times New Roman" w:hAnsi="Times New Roman"/>
          <w:sz w:val="20"/>
        </w:rPr>
      </w:pPr>
      <w:r>
        <w:rPr>
          <w:rFonts w:ascii="Times New Roman" w:hAnsi="Times New Roman"/>
          <w:i/>
          <w:color w:val="000000"/>
          <w:sz w:val="22"/>
        </w:rPr>
        <w:t>Gross Profit.</w:t>
      </w:r>
      <w:r>
        <w:rPr>
          <w:rFonts w:ascii="Times New Roman" w:hAnsi="Times New Roman"/>
          <w:color w:val="000000"/>
          <w:sz w:val="20"/>
        </w:rPr>
        <w:t xml:space="preserve"> </w:t>
      </w:r>
      <w:r>
        <w:rPr>
          <w:rFonts w:ascii="Times New Roman" w:hAnsi="Times New Roman"/>
          <w:color w:val="000000"/>
          <w:sz w:val="22"/>
        </w:rPr>
        <w:t>Gross profit for the third quarter of fiscal 2026 was adversely impacted by increased costs to deliver training and coaching services, a change in the mix of services delivered and products sold, and increased product amortization expense. As a result of these factors, North America gross margin for the third quarter slipped to 79.5% of revenue compared with 82.9% in the prior year. For the three quarters ended May 31, 2026, gross profit decreased primarily due to lower revenue as described above. North America gross margin for the first three quarters of fiscal 2026 declined to 81.4% from 82.8% in fiscal 2025 primarily due to the same issues cited for the third quarter decline.</w:t>
      </w:r>
    </w:p>
    <w:p>
      <w:pPr>
        <w:pStyle w:val="TextBody"/>
        <w:bidi w:val="0"/>
        <w:spacing w:before="220" w:after="283"/>
        <w:jc w:val="left"/>
        <w:rPr>
          <w:rFonts w:ascii="Times New Roman" w:hAnsi="Times New Roman"/>
          <w:sz w:val="20"/>
        </w:rPr>
      </w:pPr>
      <w:r>
        <w:rPr>
          <w:rFonts w:ascii="Times New Roman" w:hAnsi="Times New Roman"/>
          <w:i/>
          <w:color w:val="000000"/>
          <w:sz w:val="22"/>
        </w:rPr>
        <w:t>SG&amp;A Expense.</w:t>
      </w:r>
      <w:r>
        <w:rPr>
          <w:rFonts w:ascii="Times New Roman" w:hAnsi="Times New Roman"/>
          <w:color w:val="000000"/>
          <w:sz w:val="20"/>
        </w:rPr>
        <w:t xml:space="preserve"> </w:t>
      </w:r>
      <w:r>
        <w:rPr>
          <w:rFonts w:ascii="Times New Roman" w:hAnsi="Times New Roman"/>
          <w:color w:val="000000"/>
          <w:sz w:val="22"/>
        </w:rPr>
        <w:t>North America segment SG&amp;A expenses for the quarter ended May 31, 2026 decreased $2.0 million, or 8%, to $22.5 million. For the three quarters ended May 31, 2026, North America segment SG&amp;A expenses decreased $4.7 million, or 7%, to $68.0 million. Decreased SG&amp;A expense was primarily due to reduced associate costs, which have been lowered by recent restructuring activities, and by other cost reduction initiatives that have reduced expenses in various other areas of North America segment operations.</w:t>
      </w:r>
    </w:p>
    <w:p>
      <w:pPr>
        <w:pStyle w:val="TextBody"/>
        <w:bidi w:val="0"/>
        <w:spacing w:before="220" w:after="283"/>
        <w:jc w:val="left"/>
        <w:rPr>
          <w:rFonts w:ascii="Times New Roman" w:hAnsi="Times New Roman"/>
          <w:sz w:val="20"/>
        </w:rPr>
      </w:pPr>
      <w:r>
        <w:rPr>
          <w:rFonts w:ascii="Times New Roman" w:hAnsi="Times New Roman"/>
          <w:i/>
          <w:color w:val="000000"/>
          <w:sz w:val="22"/>
          <w:u w:val="single"/>
        </w:rPr>
        <w:t>International Segment</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color w:val="000000"/>
          <w:sz w:val="22"/>
        </w:rPr>
        <w:t>Our International segment consists of our directly owned international offices and our international licensees that provide our services and products in countries or regions that are not served by a directly owned office. Our directly owned international offices serve clients in Australia, Austria, China, France, Germany, Ireland, Japan, New Zealand,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Switzerland, and the United Kingdom. The following comparative information is for our International segment in the periods indicated (in thousands):</w:t>
      </w:r>
    </w:p>
    <w:p>
      <w:pPr>
        <w:pStyle w:val="TextBody"/>
        <w:bidi w:val="0"/>
        <w:jc w:val="left"/>
        <w:rPr/>
      </w:pPr>
      <w:r>
        <w:rPr/>
        <w:t> </w:t>
      </w:r>
    </w:p>
    <w:tbl>
      <w:tblPr>
        <w:tblW w:w="7824" w:type="dxa"/>
        <w:jc w:val="left"/>
        <w:tblInd w:w="0" w:type="dxa"/>
        <w:tblLayout w:type="fixed"/>
        <w:tblCellMar>
          <w:top w:w="28" w:type="dxa"/>
          <w:left w:w="28" w:type="dxa"/>
          <w:bottom w:w="28" w:type="dxa"/>
          <w:right w:w="28" w:type="dxa"/>
        </w:tblCellMar>
      </w:tblPr>
      <w:tblGrid>
        <w:gridCol w:w="1471"/>
        <w:gridCol w:w="146"/>
        <w:gridCol w:w="196"/>
        <w:gridCol w:w="223"/>
        <w:gridCol w:w="917"/>
        <w:gridCol w:w="146"/>
        <w:gridCol w:w="146"/>
        <w:gridCol w:w="146"/>
        <w:gridCol w:w="511"/>
        <w:gridCol w:w="146"/>
        <w:gridCol w:w="146"/>
        <w:gridCol w:w="196"/>
        <w:gridCol w:w="223"/>
        <w:gridCol w:w="917"/>
        <w:gridCol w:w="146"/>
        <w:gridCol w:w="146"/>
        <w:gridCol w:w="146"/>
        <w:gridCol w:w="511"/>
        <w:gridCol w:w="146"/>
        <w:gridCol w:w="146"/>
        <w:gridCol w:w="196"/>
        <w:gridCol w:w="162"/>
        <w:gridCol w:w="484"/>
        <w:gridCol w:w="21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955" w:type="dxa"/>
        <w:jc w:val="left"/>
        <w:tblInd w:w="0" w:type="dxa"/>
        <w:tblLayout w:type="fixed"/>
        <w:tblCellMar>
          <w:top w:w="28" w:type="dxa"/>
          <w:left w:w="28" w:type="dxa"/>
          <w:bottom w:w="28" w:type="dxa"/>
          <w:right w:w="28" w:type="dxa"/>
        </w:tblCellMar>
      </w:tblPr>
      <w:tblGrid>
        <w:gridCol w:w="1471"/>
        <w:gridCol w:w="146"/>
        <w:gridCol w:w="196"/>
        <w:gridCol w:w="228"/>
        <w:gridCol w:w="942"/>
        <w:gridCol w:w="146"/>
        <w:gridCol w:w="146"/>
        <w:gridCol w:w="146"/>
        <w:gridCol w:w="511"/>
        <w:gridCol w:w="146"/>
        <w:gridCol w:w="146"/>
        <w:gridCol w:w="196"/>
        <w:gridCol w:w="228"/>
        <w:gridCol w:w="942"/>
        <w:gridCol w:w="146"/>
        <w:gridCol w:w="146"/>
        <w:gridCol w:w="146"/>
        <w:gridCol w:w="511"/>
        <w:gridCol w:w="146"/>
        <w:gridCol w:w="146"/>
        <w:gridCol w:w="196"/>
        <w:gridCol w:w="146"/>
        <w:gridCol w:w="571"/>
        <w:gridCol w:w="21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Revenue</w:t>
      </w:r>
      <w:r>
        <w:rPr>
          <w:rFonts w:ascii="Times New Roman" w:hAnsi="Times New Roman"/>
          <w:color w:val="000000"/>
          <w:sz w:val="22"/>
        </w:rPr>
        <w:t>. International segment revenue for the quarter ended May 31, 2026, decreased slightly compared with the third quarter of fiscal 2025 as growth from our licensee channel was offset by lower direct office revenues in the quarter. Licensee revenue in the third quarter increased 3% over the prior year but were offset by lower revenues in our China, Japan, and United Kingdom direct offices. Our offices in France and Australia each grew compared with the third quarter of fiscal 2025. Our China operations in the third quarter continued to be adversely impacted by ongoing trade tensions and broader macroeconomic uncertainty which have impacted prior periods in fiscal 2026. For the third quarter of fiscal 2026, foreign exchange rates had a $0.2 million favorable impact on revenues and a $0.1 million favorable impact on operating income.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International segment revenues for the three quarters ended May 31, 2026, also decreased slightly when compared with the prior year. Increased sales at our offices in France and Australia were more than offset by decreased sales in China, Japan, and the United Kingdom. Licensee revenues for the first three quarters of fiscal 2026 were essentially flat year-over-year. For the first three quarters of fiscal 2026, foreign exchange rates had a $0.8 million favorable impact on revenues and a $0.2 million favorable impact on operating income.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continue to believe International segment revenues will improve in future periods as multiple international trade issues are resolved and economic conditions stabilize and strengthen.</w:t>
      </w:r>
    </w:p>
    <w:p>
      <w:pPr>
        <w:pStyle w:val="TextBody"/>
        <w:bidi w:val="0"/>
        <w:spacing w:before="220" w:after="283"/>
        <w:jc w:val="left"/>
        <w:rPr>
          <w:rFonts w:ascii="Times New Roman" w:hAnsi="Times New Roman"/>
          <w:sz w:val="20"/>
        </w:rPr>
      </w:pPr>
      <w:r>
        <w:rPr>
          <w:rFonts w:ascii="Times New Roman" w:hAnsi="Times New Roman"/>
          <w:i/>
          <w:color w:val="000000"/>
          <w:sz w:val="22"/>
        </w:rPr>
        <w:t xml:space="preserve">Gross Profit. </w:t>
      </w:r>
      <w:r>
        <w:rPr>
          <w:rFonts w:ascii="Times New Roman" w:hAnsi="Times New Roman"/>
          <w:color w:val="000000"/>
          <w:sz w:val="22"/>
        </w:rPr>
        <w:t>Gross profit in the International segment for the third quarter of fiscal 2026 decreased primarily due to less revenue as previously described and decreased gross margin in the quarter. Gross margin for the quarter ended May 31, 2026, was 75.8% of revenue compared with 77.1% in fiscal 2025. Gross profit for the first three quarters of fiscal 2026 also declined due to decreased revenue and lower gross margins. Gross margin for the three quarters ended May 31, 2026, remained strong, but decreased to 76.8% compared with 77.9% in the prior year. Our international segment gross margins decreased in fiscal 2026 primarily due to the mix of services delivered and products sold, and increased direct costs to deliver programs in certain direct offices.</w:t>
      </w:r>
    </w:p>
    <w:p>
      <w:pPr>
        <w:pStyle w:val="TextBody"/>
        <w:bidi w:val="0"/>
        <w:spacing w:before="220" w:after="283"/>
        <w:jc w:val="left"/>
        <w:rPr>
          <w:rFonts w:ascii="Times New Roman" w:hAnsi="Times New Roman"/>
          <w:sz w:val="20"/>
        </w:rPr>
      </w:pPr>
      <w:r>
        <w:rPr>
          <w:rFonts w:ascii="Times New Roman" w:hAnsi="Times New Roman"/>
          <w:i/>
          <w:color w:val="000000"/>
          <w:sz w:val="22"/>
        </w:rPr>
        <w:t>SG&amp;A Expenses.</w:t>
      </w:r>
      <w:r>
        <w:rPr>
          <w:rFonts w:ascii="Times New Roman" w:hAnsi="Times New Roman"/>
          <w:color w:val="000000"/>
          <w:sz w:val="20"/>
        </w:rPr>
        <w:t xml:space="preserve"> </w:t>
      </w:r>
      <w:r>
        <w:rPr>
          <w:rFonts w:ascii="Times New Roman" w:hAnsi="Times New Roman"/>
          <w:color w:val="000000"/>
          <w:sz w:val="22"/>
        </w:rPr>
        <w:t>Third quarter fiscal 2026 International segment SG&amp;A expenses decreased $0.7 million compared with the prior year. For the first three quarters of fiscal 2026, International segment SG&amp;A expenses decreased $2.5 million compared with fiscal 2025. Reduced SG&amp;A expense in our International segment was driven by ongoing cost reduction and efficiency initiatives which produced increased Adjusted EBITDA during fiscal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Education Division</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Our Education Division is comprised of our domestic and international Education practice operations (focused on sales to educational institutions) and includes our widely acclaimed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program. The following comparative information is for our Education Division in the periods indicated (in thousands):</w:t>
      </w:r>
    </w:p>
    <w:p>
      <w:pPr>
        <w:pStyle w:val="TextBody"/>
        <w:bidi w:val="0"/>
        <w:jc w:val="left"/>
        <w:rPr/>
      </w:pPr>
      <w:r>
        <w:rPr/>
        <w:t> </w:t>
      </w:r>
    </w:p>
    <w:tbl>
      <w:tblPr>
        <w:tblW w:w="7824" w:type="dxa"/>
        <w:jc w:val="left"/>
        <w:tblInd w:w="0" w:type="dxa"/>
        <w:tblLayout w:type="fixed"/>
        <w:tblCellMar>
          <w:top w:w="28" w:type="dxa"/>
          <w:left w:w="28" w:type="dxa"/>
          <w:bottom w:w="28" w:type="dxa"/>
          <w:right w:w="28" w:type="dxa"/>
        </w:tblCellMar>
      </w:tblPr>
      <w:tblGrid>
        <w:gridCol w:w="1471"/>
        <w:gridCol w:w="146"/>
        <w:gridCol w:w="196"/>
        <w:gridCol w:w="223"/>
        <w:gridCol w:w="917"/>
        <w:gridCol w:w="146"/>
        <w:gridCol w:w="146"/>
        <w:gridCol w:w="146"/>
        <w:gridCol w:w="511"/>
        <w:gridCol w:w="146"/>
        <w:gridCol w:w="146"/>
        <w:gridCol w:w="196"/>
        <w:gridCol w:w="223"/>
        <w:gridCol w:w="917"/>
        <w:gridCol w:w="146"/>
        <w:gridCol w:w="146"/>
        <w:gridCol w:w="146"/>
        <w:gridCol w:w="511"/>
        <w:gridCol w:w="146"/>
        <w:gridCol w:w="146"/>
        <w:gridCol w:w="196"/>
        <w:gridCol w:w="162"/>
        <w:gridCol w:w="484"/>
        <w:gridCol w:w="21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tbl>
      <w:tblPr>
        <w:tblW w:w="7895" w:type="dxa"/>
        <w:jc w:val="left"/>
        <w:tblInd w:w="0" w:type="dxa"/>
        <w:tblLayout w:type="fixed"/>
        <w:tblCellMar>
          <w:top w:w="28" w:type="dxa"/>
          <w:left w:w="28" w:type="dxa"/>
          <w:bottom w:w="28" w:type="dxa"/>
          <w:right w:w="28" w:type="dxa"/>
        </w:tblCellMar>
      </w:tblPr>
      <w:tblGrid>
        <w:gridCol w:w="1471"/>
        <w:gridCol w:w="146"/>
        <w:gridCol w:w="196"/>
        <w:gridCol w:w="228"/>
        <w:gridCol w:w="942"/>
        <w:gridCol w:w="146"/>
        <w:gridCol w:w="146"/>
        <w:gridCol w:w="146"/>
        <w:gridCol w:w="511"/>
        <w:gridCol w:w="146"/>
        <w:gridCol w:w="146"/>
        <w:gridCol w:w="196"/>
        <w:gridCol w:w="228"/>
        <w:gridCol w:w="942"/>
        <w:gridCol w:w="146"/>
        <w:gridCol w:w="146"/>
        <w:gridCol w:w="146"/>
        <w:gridCol w:w="511"/>
        <w:gridCol w:w="146"/>
        <w:gridCol w:w="146"/>
        <w:gridCol w:w="196"/>
        <w:gridCol w:w="146"/>
        <w:gridCol w:w="511"/>
        <w:gridCol w:w="21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20" w:after="283"/>
        <w:jc w:val="left"/>
        <w:rPr>
          <w:rFonts w:ascii="Times New Roman" w:hAnsi="Times New Roman"/>
          <w:sz w:val="20"/>
        </w:rPr>
      </w:pPr>
      <w:r>
        <w:rPr>
          <w:rFonts w:ascii="Times New Roman" w:hAnsi="Times New Roman"/>
          <w:i/>
          <w:color w:val="000000"/>
          <w:sz w:val="22"/>
        </w:rPr>
        <w:t>Revenue.</w:t>
      </w:r>
      <w:r>
        <w:rPr>
          <w:rFonts w:ascii="Times New Roman" w:hAnsi="Times New Roman"/>
          <w:color w:val="000000"/>
          <w:sz w:val="20"/>
        </w:rPr>
        <w:t xml:space="preserve"> </w:t>
      </w:r>
      <w:r>
        <w:rPr>
          <w:rFonts w:ascii="Times New Roman" w:hAnsi="Times New Roman"/>
          <w:color w:val="000000"/>
          <w:sz w:val="22"/>
        </w:rPr>
        <w:t>Education Division revenue for the quarter ended May 31, 2026, increased 2%, or $0.4 million, compared with the third quarter of the prior year. The increase in Education Division revenue was primarily due to increased subscription revenue, which was partially offset by decreased classroom and training materials sales. Education Division subscription revenue increased by 11% primarily due to the delivery of more training and coaching days, which are recognized as revenue when they are delivered. Total training and coaching days delivered in the third quarter increased by over 200 days compared with the prior year. The decrease in classroom and training materials was primarily due to state-wide initiatives in the prior year that did not repeat as a result of budget cuts or did not repeat at the same level due to the timing of implementation compared with the prior year. Funding for health and human services and education initiatives were sharply reduced in one of the states where we have a state-wide initiative, which had a significant adverse impact on our invoiced amounts, revenue, gross profit, and Adjusted EBITDA during the third quarter and for the three quarters ended May 31, 2026. We believe that a portion of these education funds will be restored in future periods, but the amount and certainty of the restored funding is dependent on legislative action in that state. Foreign exchange rates had an immaterial impact on Education Division revenue and operating results for the third quarter of fiscal 2026.</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Education Division revenue for the three quarters ended May 31, 2026, increased 5%, or $2.4 million, compared with the first three quarters of fiscal 2025. The increase in Education Division revenue was primarily due to increased subscription revenue, which was partially offset by decreased classroom and training materials sales. Education Division subscription revenue increased primarily due to the delivery of more training and coaching days. For the first three quarters of fiscal 2026 we delivered over 700 more coaching and training days than in the prior year. The decrease in classroom and training materials in the first three quarters of fiscal 2026 was primarily due to state-wide initiatives in the prior year that did not repeat as a result of budget cuts, as previously discussed, or did not repeat at the same level due to the timing of implementation compared with the prior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We continue to be pleased with the strength and momentum of our Education Division, which added 624 new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schools in a very challenging funding environment during fiscal 2025. At May 31, 2026, over 8,000 schools around the world were using the</w:t>
      </w:r>
      <w:r>
        <w:rPr>
          <w:rFonts w:ascii="Times New Roman" w:hAnsi="Times New Roman"/>
          <w:color w:val="000000"/>
          <w:sz w:val="20"/>
        </w:rPr>
        <w:t xml:space="preserve"> </w:t>
      </w:r>
      <w:r>
        <w:rPr>
          <w:rFonts w:ascii="Times New Roman" w:hAnsi="Times New Roman"/>
          <w:i/>
          <w:color w:val="000000"/>
          <w:sz w:val="22"/>
        </w:rPr>
        <w:t>Leader in Me</w:t>
      </w:r>
      <w:r>
        <w:rPr>
          <w:rFonts w:ascii="Times New Roman" w:hAnsi="Times New Roman"/>
          <w:color w:val="000000"/>
          <w:sz w:val="20"/>
        </w:rPr>
        <w:t xml:space="preserve"> </w:t>
      </w:r>
      <w:r>
        <w:rPr>
          <w:rFonts w:ascii="Times New Roman" w:hAnsi="Times New Roman"/>
          <w:color w:val="000000"/>
          <w:sz w:val="22"/>
        </w:rPr>
        <w:t>program.</w:t>
      </w:r>
    </w:p>
    <w:p>
      <w:pPr>
        <w:pStyle w:val="TextBody"/>
        <w:bidi w:val="0"/>
        <w:spacing w:before="220" w:after="283"/>
        <w:jc w:val="left"/>
        <w:rPr>
          <w:rFonts w:ascii="Times New Roman" w:hAnsi="Times New Roman"/>
          <w:sz w:val="20"/>
        </w:rPr>
      </w:pPr>
      <w:r>
        <w:rPr>
          <w:rFonts w:ascii="Times New Roman" w:hAnsi="Times New Roman"/>
          <w:i/>
          <w:color w:val="000000"/>
          <w:sz w:val="22"/>
        </w:rPr>
        <w:t>Gross Profit.</w:t>
      </w:r>
      <w:r>
        <w:rPr>
          <w:rFonts w:ascii="Times New Roman" w:hAnsi="Times New Roman"/>
          <w:color w:val="000000"/>
          <w:sz w:val="20"/>
        </w:rPr>
        <w:t xml:space="preserve"> </w:t>
      </w:r>
      <w:r>
        <w:rPr>
          <w:rFonts w:ascii="Times New Roman" w:hAnsi="Times New Roman"/>
          <w:color w:val="000000"/>
          <w:sz w:val="22"/>
        </w:rPr>
        <w:t>For the quarter ended May 31, 2026, Education Division gross profit decreased primarily due to increased costs which resulted in lower gross margins. Our Education Division gross margin was 62.8% in the third quarter of fiscal 2026 compared with 65.6% in fiscal 2025. For the first three quarters of fiscal 2026, Education Division gross margin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was 62.0% compared with 63.7% in the first three quarters of the prior year. Our fiscal 2026 Education Division gross margins were adversely impacted by increased delivery, platform, product amortization, and materials costs combined with a change in the mix of services delivered and products sold when compared with the prior year.</w:t>
      </w:r>
    </w:p>
    <w:p>
      <w:pPr>
        <w:pStyle w:val="TextBody"/>
        <w:bidi w:val="0"/>
        <w:spacing w:before="220" w:after="283"/>
        <w:jc w:val="left"/>
        <w:rPr>
          <w:rFonts w:ascii="Times New Roman" w:hAnsi="Times New Roman"/>
          <w:sz w:val="20"/>
        </w:rPr>
      </w:pPr>
      <w:r>
        <w:rPr>
          <w:rFonts w:ascii="Times New Roman" w:hAnsi="Times New Roman"/>
          <w:i/>
          <w:color w:val="000000"/>
          <w:sz w:val="22"/>
        </w:rPr>
        <w:t xml:space="preserve">SG&amp;A Expenses. </w:t>
      </w:r>
      <w:r>
        <w:rPr>
          <w:rFonts w:ascii="Times New Roman" w:hAnsi="Times New Roman"/>
          <w:color w:val="000000"/>
          <w:sz w:val="22"/>
        </w:rPr>
        <w:t>For the quarter ended May 31, 2026, Education Division SG&amp;A expenses increased primarily due to increased cost allocations from shared services and increased associate expenses from new personnel, including changes to compensation plans. For the first three quarters of fiscal 2026, Education Division SG&amp;A expenses increased primarily due to increased commissions on previously deferred revenue and increased associate expenses from new personnel.</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Other Operating Expense Items</w:t>
      </w:r>
    </w:p>
    <w:p>
      <w:pPr>
        <w:pStyle w:val="TextBody"/>
        <w:bidi w:val="0"/>
        <w:spacing w:before="220" w:after="283"/>
        <w:jc w:val="left"/>
        <w:rPr>
          <w:rFonts w:ascii="Times New Roman" w:hAnsi="Times New Roman"/>
          <w:sz w:val="20"/>
        </w:rPr>
      </w:pPr>
      <w:r>
        <w:rPr>
          <w:rFonts w:ascii="Times New Roman" w:hAnsi="Times New Roman"/>
          <w:b/>
          <w:i/>
          <w:color w:val="000000"/>
          <w:sz w:val="22"/>
        </w:rPr>
        <w:t xml:space="preserve">Depreciation Expense </w:t>
      </w:r>
      <w:r>
        <w:rPr>
          <w:rFonts w:ascii="Times New Roman" w:hAnsi="Times New Roman"/>
          <w:color w:val="000000"/>
          <w:sz w:val="20"/>
        </w:rPr>
        <w:t xml:space="preserve">– </w:t>
      </w:r>
      <w:r>
        <w:rPr>
          <w:rFonts w:ascii="Times New Roman" w:hAnsi="Times New Roman"/>
          <w:color w:val="000000"/>
          <w:sz w:val="22"/>
        </w:rPr>
        <w:t>Our depreciation expense for the quarter ended May 31, 2026, increased $0.2 million to $1.2 million, compared with $1.0 million in the prior year. For the three quarters ended May 31, 2026, our depreciation expense was $3.4 million compared with $3.0 million in the first three quarters of fiscal 2025. The increase in our depreciation expense during fiscal 2026 was primarily due to assets acquired in connection with our new headquarters office. We currently anticipate that depreciation expense will total approximately $4.5 million in fiscal 2026.</w:t>
      </w:r>
    </w:p>
    <w:p>
      <w:pPr>
        <w:pStyle w:val="TextBody"/>
        <w:bidi w:val="0"/>
        <w:spacing w:before="220" w:after="283"/>
        <w:jc w:val="left"/>
        <w:rPr>
          <w:rFonts w:ascii="Times New Roman" w:hAnsi="Times New Roman"/>
          <w:sz w:val="20"/>
        </w:rPr>
      </w:pPr>
      <w:r>
        <w:rPr>
          <w:rFonts w:ascii="Times New Roman" w:hAnsi="Times New Roman"/>
          <w:b/>
          <w:i/>
          <w:color w:val="000000"/>
          <w:sz w:val="22"/>
        </w:rPr>
        <w:t>Amortization Expense</w:t>
      </w:r>
      <w:r>
        <w:rPr>
          <w:rFonts w:ascii="Times New Roman" w:hAnsi="Times New Roman"/>
          <w:color w:val="000000"/>
          <w:sz w:val="20"/>
        </w:rPr>
        <w:t xml:space="preserve"> – </w:t>
      </w:r>
      <w:r>
        <w:rPr>
          <w:rFonts w:ascii="Times New Roman" w:hAnsi="Times New Roman"/>
          <w:color w:val="000000"/>
          <w:sz w:val="22"/>
        </w:rPr>
        <w:t>Our amortization expense from definite-lived intangible assets for the quarter ended May 31, 2026, decreased $0.5 million to $0.6 million compared with the third quarter of the prior year. For the three quarters ended May 31, 2026, our amortization expense totaled $2.0 million compared with $3.3 million in fiscal 2025. The decrease in our amortization expense was primarily due to the re-evaluation of the useful lives of content and license rights originally acquired in the merger with the Covey Leadership Center. These intangible assets continue to be some of our primary revenue and cash flow generating assets. Based on the re-evaluation of these intangible assets, we extended the useful lives of these assets by approximately 5 years. We currently anticipate our finite-lived intangible asset amortization expense will total $3.0 million in fiscal 2026.</w:t>
      </w:r>
    </w:p>
    <w:p>
      <w:pPr>
        <w:pStyle w:val="TextBody"/>
        <w:bidi w:val="0"/>
        <w:spacing w:before="220" w:after="283"/>
        <w:jc w:val="left"/>
        <w:rPr>
          <w:rFonts w:ascii="Times New Roman" w:hAnsi="Times New Roman"/>
          <w:sz w:val="20"/>
        </w:rPr>
      </w:pPr>
      <w:r>
        <w:rPr>
          <w:rFonts w:ascii="Times New Roman" w:hAnsi="Times New Roman"/>
          <w:b/>
          <w:i/>
          <w:color w:val="000000"/>
          <w:sz w:val="22"/>
        </w:rPr>
        <w:t xml:space="preserve">Interest Income </w:t>
      </w:r>
      <w:r>
        <w:rPr>
          <w:rFonts w:ascii="Times New Roman" w:hAnsi="Times New Roman"/>
          <w:color w:val="000000"/>
          <w:sz w:val="20"/>
        </w:rPr>
        <w:t xml:space="preserve">– </w:t>
      </w:r>
      <w:r>
        <w:rPr>
          <w:rFonts w:ascii="Times New Roman" w:hAnsi="Times New Roman"/>
          <w:color w:val="000000"/>
          <w:sz w:val="22"/>
        </w:rPr>
        <w:t>Our interest income for the quarter ended May 31, 2026, decreased $0.2 million compared with the prior year. For the first three quarters of fiscal 2026, our interest income decreased $0.6 million to $0.2 million. The decrease in interest income was primarily due to decreased cash and lower interest rates on those balances throughout fiscal 2026.</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b/>
          <w:i/>
          <w:color w:val="000000"/>
          <w:sz w:val="22"/>
        </w:rPr>
        <w:t>Interest Expense</w:t>
      </w:r>
      <w:r>
        <w:rPr>
          <w:rFonts w:ascii="Times New Roman" w:hAnsi="Times New Roman"/>
          <w:color w:val="000000"/>
          <w:sz w:val="20"/>
        </w:rPr>
        <w:t xml:space="preserve"> – </w:t>
      </w:r>
      <w:r>
        <w:rPr>
          <w:rFonts w:ascii="Times New Roman" w:hAnsi="Times New Roman"/>
          <w:color w:val="000000"/>
          <w:sz w:val="22"/>
        </w:rPr>
        <w:t>Interest expense for the third quarter of fiscal 2026 of $0.1 million decreased by $0.1 million compared with the prior year. For the three quarters ending May 31, 2026, our interest expense decreased $0.2 million to $0.2 million compared with the prior year. The decrease in our interest expense during fiscal 2026 was primarily due to decreased debt balances compared with the prior year as payments have been made in the normal course of business.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Income Taxes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income tax provision for the quarter ended May 31, 2026, was $1.1 million on pre-tax earnings of $4.2 million, for an effective tax rate of 25.9%. In the third quarter of fiscal 2025, our income tax benefit was $0.7 million on a pre-tax loss of $(2.1) million, for an effective tax benefit rate of 33.8%.</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For the three quarters ended May 31, 2026, our income tax expense totaled $0.7 million on a pre-tax loss of $(1.5) million. In the first three quarters of fiscal 2025, our income tax benefit totaled $0.6 million on a pre-tax loss of $(1.9) million. The change in our income tax expense/benefit between periods is primarily due to the impact of stock</w:t>
        <w:noBreakHyphen/>
        <w:t>based compensation. Because we reported pre</w:t>
        <w:noBreakHyphen/>
        <w:t>tax losses in both periods, the resulting effective tax rates are not considered meaningful or indicative of our expected annual effective tax rate.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currently estimate that our effective tax rate will normalize during the remainder of fiscal 2026 to approximately 41%, which is higher than normal statutory rates primarily due to non-deductible stock based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We paid $0.4 million of cash for taxes during the three quarters ended May 31, 2026. Our cash paid for taxes in the first three quarters of fiscal 2026 was significantly less than cash paid in fiscal 2025 primarily due to payments made for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fiscal 2024 income tax provision, which was significantly larger than the fiscal 2025 tax provision. We anticipate our total cash paid for income taxes over the coming years will approximate our total income provision on an annual basis.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LIQUIDITY AND CAPITAL RESOURCES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Introduction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At May 31, 2026, we had over $74 million of available liquidity, which consisted of $12.0 million in cash combined with our full available $62.5 million revolving credit facility. Of our $12.0 million of cash on May 31, 2026, $6.0 million was held outside the U.S. by our foreign subsidiaries. We routinely repatriate cash from our foreign subsidiaries and consider cash generated from foreign activities a key component of our overall liquidity position. Our primary sources of liquidity are cash flows from the sale of services and products in the normal course of business and available proceeds from our credit facility. Our primary uses of liquidity include payments for operating activities, opportunistic purchases of our common stock, working capital expansion, and capital expenditures (including curriculum development).</w:t>
      </w:r>
    </w:p>
    <w:p>
      <w:pPr>
        <w:pStyle w:val="TextBody"/>
        <w:bidi w:val="0"/>
        <w:spacing w:before="220" w:after="283"/>
        <w:jc w:val="left"/>
        <w:rPr>
          <w:rFonts w:ascii="Times New Roman" w:hAnsi="Times New Roman"/>
          <w:sz w:val="20"/>
        </w:rPr>
      </w:pPr>
      <w:r>
        <w:rPr>
          <w:rFonts w:ascii="Times New Roman" w:hAnsi="Times New Roman"/>
          <w:color w:val="000000"/>
          <w:sz w:val="22"/>
        </w:rPr>
        <w:t>We previously entered into a credit agreement (the 2023 Credit Agreement) with KeyBank National Association leading a group of financial institutions. The 2023 Credit Agreement provides up to $70.0 million in total credit, of which $7.5 million was used to replace the outstanding term loan balance from the previous credit agreement. The remaining $62.5 million is available as a revolving line of credit or for future term loans. The 2023 Credit Agreement matures on March 27, 2028.</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As defined in the 2023 Credit Agreement, we are (i) required to maintain a Leverage Ratio of less than 3.00 to 1.00 and a Fixed Charge Coverage Ratio greater than 1.15 to 1.00; and (ii) we are restricted from making certain distributions to stockholders, including repurchases of common stock. However, we are permitted to make distributions, including through purchases of outstanding common stock, provided that we are in compliance with the Leverage Ratio and Fixed Charge Coverage Ratio financial covenants before and after such distribution. At May 31, 2026, we believe that we were in compliance with the terms and covenants contained in the 2023 Credit Agreement.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following discussion is a description of the primary factors affecting our cash flows and their effects upon our liquidity and capital resources during the three quarters ended May 31, 2026.</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Cash Flows Provided By Operating Activities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primary source of cash from operating activities was the sale of services to our customers in the normal course of business. Our primary uses of cash for operating activities were payments for SG&amp;A expenses, direct costs necessary to conduct training programs, to fund working capital changes, and to suppliers for materials used in training manuals sold. Our cash provided by operating activities during the first three quarters of fiscal 2026 was $17.5 million compared with $19.0 million in fiscal 2025. The slight decrease in cash flows from operating activities was primarily attributable to lower operating income and unfavorable changes in working capital balances compared with the first three quarters of fiscal 2025. While we expect our cash flows from operating activities will improve during the fourth quarter of fiscal 2026, certain conditions are beyond our control, including ongoing difficulties in the macroeconomic environment, geopolitical tensions, and further governmental actions, and our cash flows from operating activities may be less than our current expectations.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Cash Flows Used For Investing Activities and Capital Expenditures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During the first three quarters of fiscal 2026, our cash used for investing activities totaled $9.0 million. Our primary uses of cash for investing activities consisted of additional investments in the development of our offerings and purchases of property and equipment in the normal course of business.</w:t>
      </w:r>
    </w:p>
    <w:p>
      <w:pPr>
        <w:pStyle w:val="TextBody"/>
        <w:bidi w:val="0"/>
        <w:spacing w:before="220" w:after="283"/>
        <w:jc w:val="left"/>
        <w:rPr>
          <w:rFonts w:ascii="Times New Roman" w:hAnsi="Times New Roman"/>
          <w:sz w:val="20"/>
        </w:rPr>
      </w:pPr>
      <w:r>
        <w:rPr>
          <w:rFonts w:ascii="Times New Roman" w:hAnsi="Times New Roman"/>
          <w:color w:val="000000"/>
          <w:sz w:val="22"/>
        </w:rPr>
        <w:t>Through May 31, 2026, we spent $5.1 million on the development of our various offerings and related content. We believe continued investment in our offerings and content is key to future growth and the development of our business. We currently expect that our cash used for curriculum development will total between approximately $6 million and $8 million in fiscal 2026. Certain projects previously expected to be developed during fiscal 2026 were postponed and 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now expected to be developed in fiscal 2027, which may increase our overall spending for curriculum development in the future.</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cash used for purchases of property and equipment during the first three quarters of fiscal 2026 totaled $3.9 million and consisted primarily of leasehold improvements on our new corporate headquarters, and computer software and hardware. We currently anticipate that our cash used for purchases of property and equipment will total between approximately $5 million and $7 million in fiscal 2026.</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Cash Flows Used For Financing Activities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For the three quarters ended May 31, 2026, our net cash used for financing activities totaled $28.1 million. Our primary uses of financing cash was $28.1 million used to purchase shares of our common stock, which consisted of shares purchased on the open market and shares withheld for income taxes on stock-based compensation awards (Note 2), and $0.8 million used for the final payment for the purchase of Strive. Partially offsetting our uses of cash for financing activities were $0.9 million of proceeds received from our ESPP participants to purchase shares of common stock during the first three quarters of fiscal 2026. We utilized proceeds from our available line of credit to facilitate purchases of common stock during the second quarter of fiscal 2026. However, we repaid the outstanding balance on the line of credit prior to the end of the second quarter.</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On April 18, 2024, our Board of Directors approved a plan to purchase up to $50.0 million of our outstanding common stock. On August 11, 2025, the Board of Directors approved a replenishment of the plan to purchase up to $50.0 million of common stock. On August 14, 2025, we initiated a 10b5-1 plan to purchase up to $10.0 million of our common stock through daily transactions. This 10b5-1 plan was completed in October 2025. On November 17, 2025, we initiated a new 10b5-1 plan to purchase up to $20.0 million of our common stock through daily transactions. This purchase plan was completed in January 2026.</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Our uses of financing cash during the remainder of fiscal 2026 may include purchases of our common stock. However, the timing and amount of common stock purchases is dependent on a number of factors, including available resources, and we are not obligated to make purchases of our common stock during any future period except as required by any outstanding 10b5-1 purchase plan.</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Sources of Liquidity</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expect to pay the liabilities from our leases; pay for projected capital expenditures; and meet other obligations in fiscal 2026 and beyond from current cash balances and future cash flows from operating activities. Going forward, we will continue to incur costs necessary for the day-to-day operation of the business and may use additional credit and other financing alternatives, if necessary, for these expenditures. We have a credit agreement (the 2023 Credit Agreement) which we expect to renew and amend on a regular basis to maintain the long-term borrowing capacity of this credit facility. Additional potential sources of liquidity available to us include factoring receivables, issuance of additional equity, or issuance of debt to public or private sources. If necessary, we will evaluate all of these options and select one or more of them depending on overall capital needs and the associated cost of capital.</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believe that our existing cash and cash equivalents, cash generated by operating activities, and the availability of external funds as described above, will be sufficient for us to maintain our operations for at least the upcoming 12 months. However, our ability to maintain adequate capital for our operations in the future is dependent upon a number of factors, including sales trends, macroeconomic activity, our ability to contain costs, levels of capital expenditures, collection of accounts receivable, opportunistic purchases of our common stock, and other factors. Some of the factors that influence our operations are not within our control, such as general economic conditions, business conditions in international locations, geopolitical tensions in various locations, and the introduction of new offerings or technology by our competitors. We will continue to monitor our liquidity position and may pursue additional financing alternatives, as described above, to maintain sufficient resources for future growth and capital requirements. However, there can be no assurance such financing alternatives will be available to us on acceptable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Material Uses of Cash and Contractual Obligations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do not operate any manufacturing, mining, or other capital-intensive facilities, and we have not structured any special purpose entities, or participated in any commodity trading activities, which would expose us to potential undisclosed liabilities or create adverse consequences to our liquidity. However, we have normal ongoing cash expenditures and are subject to various contractual obligations that are required to run our business. Our material cash requirements include the following:</w:t>
      </w:r>
    </w:p>
    <w:p>
      <w:pPr>
        <w:pStyle w:val="TextBody"/>
        <w:bidi w:val="0"/>
        <w:spacing w:before="220" w:after="283"/>
        <w:jc w:val="left"/>
        <w:rPr>
          <w:color w:val="000000"/>
        </w:rPr>
      </w:pPr>
      <w:r>
        <w:rPr>
          <w:color w:val="000000"/>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Associate and Consultant Compensation</w:t>
      </w:r>
    </w:p>
    <w:p>
      <w:pPr>
        <w:pStyle w:val="TextBody"/>
        <w:bidi w:val="0"/>
        <w:spacing w:before="220" w:after="283"/>
        <w:jc w:val="left"/>
        <w:rPr>
          <w:color w:val="000000"/>
        </w:rPr>
      </w:pPr>
      <w:r>
        <w:rPr>
          <w:color w:val="000000"/>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Information Technology Expenditures</w:t>
      </w:r>
    </w:p>
    <w:p>
      <w:pPr>
        <w:pStyle w:val="TextBody"/>
        <w:bidi w:val="0"/>
        <w:spacing w:before="220" w:after="283"/>
        <w:jc w:val="left"/>
        <w:rPr>
          <w:color w:val="000000"/>
        </w:rPr>
      </w:pPr>
      <w:r>
        <w:rPr>
          <w:color w:val="000000"/>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Content Development Costs</w:t>
      </w:r>
    </w:p>
    <w:p>
      <w:pPr>
        <w:pStyle w:val="TextBody"/>
        <w:bidi w:val="0"/>
        <w:spacing w:before="220" w:after="283"/>
        <w:jc w:val="left"/>
        <w:rPr>
          <w:color w:val="000000"/>
        </w:rPr>
      </w:pPr>
      <w:r>
        <w:rPr>
          <w:color w:val="000000"/>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Income Taxes</w:t>
      </w:r>
    </w:p>
    <w:p>
      <w:pPr>
        <w:pStyle w:val="TextBody"/>
        <w:bidi w:val="0"/>
        <w:spacing w:before="220" w:after="283"/>
        <w:jc w:val="left"/>
        <w:rPr>
          <w:color w:val="000000"/>
        </w:rPr>
      </w:pPr>
      <w:r>
        <w:rPr>
          <w:color w:val="000000"/>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Other Contractual Obligations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These material cash requirements are discussed in more detail in Part II, Item 7, </w:t>
      </w:r>
      <w:r>
        <w:rPr>
          <w:rFonts w:ascii="Times New Roman" w:hAnsi="Times New Roman"/>
          <w:i/>
          <w:color w:val="000000"/>
          <w:sz w:val="22"/>
        </w:rPr>
        <w:t>Management’s Discussion and Analysis of Financial Condition and Results of Operations</w:t>
      </w:r>
      <w:r>
        <w:rPr>
          <w:rFonts w:ascii="Times New Roman" w:hAnsi="Times New Roman"/>
          <w:color w:val="000000"/>
          <w:sz w:val="20"/>
        </w:rPr>
        <w:t xml:space="preserve"> </w:t>
      </w:r>
      <w:r>
        <w:rPr>
          <w:rFonts w:ascii="Times New Roman" w:hAnsi="Times New Roman"/>
          <w:color w:val="000000"/>
          <w:sz w:val="22"/>
        </w:rPr>
        <w:t>in our Annual Report. During the quarter ended May 31, 2026, there have been no material changes to our expected uses of cash and contractual obligations from those discussed in our Annual Report. However, current economic conditions and other forecasts may change and could alter our expected material uses of cash in future periods. For further information on our material uses of cash and contractual obligations, refer to the information included in our Annual Report.</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CRITICAL ACCOUNTING ESTIMATES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Our consolidated financial statements were prepared in accordance with GAAP. For information on our critical accounting policies, see “Critical Accounting Estimates” in the </w:t>
      </w:r>
      <w:r>
        <w:rPr>
          <w:rFonts w:ascii="Times New Roman" w:hAnsi="Times New Roman"/>
          <w:i/>
          <w:color w:val="000000"/>
          <w:sz w:val="22"/>
        </w:rPr>
        <w:t>Management’s Discussion and Analysis of Financial Condition and Results of Operations</w:t>
      </w:r>
      <w:r>
        <w:rPr>
          <w:rFonts w:ascii="Times New Roman" w:hAnsi="Times New Roman"/>
          <w:color w:val="000000"/>
          <w:sz w:val="20"/>
        </w:rPr>
        <w:t xml:space="preserve"> </w:t>
      </w:r>
      <w:r>
        <w:rPr>
          <w:rFonts w:ascii="Times New Roman" w:hAnsi="Times New Roman"/>
          <w:color w:val="000000"/>
          <w:sz w:val="22"/>
        </w:rPr>
        <w:t>included in Part II, Item 7 of our Annual Report. Refer to those disclosures for further information regarding our uses of estimates and critical accounting policies. There have been no significant changes to our previously disclosed estimates or critical accounting policies.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Estimates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Some of the accounting guidance we use requires us to make estimates and assumptions that affect the amounts reported in our consolidated financial statements. We regularly evaluate our estimates and assumptions and base those estimates and assumptions on historical experience, factors that are believed to be reasonable under the circumstances, and requirements under GAAP. Actual results may differ from these estimates under different assumptions or conditions, including changes in economic conditions and other circumstances that are not within our control, but which may have an impact on these estimates and our actual financial results.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NEW ACCOUNTING PRONOUNCEMENTS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Refer to Note 1 to our unaudited condensed consolidated financial statements for a description of new accounting pronouncements that may impact us.</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SAFE HARBOR STATEMENT UNDER THE PRIVATE SECURITIES LITIGATION REFORM ACT OF 1995</w:t>
      </w:r>
    </w:p>
    <w:p>
      <w:pPr>
        <w:pStyle w:val="TextBody"/>
        <w:bidi w:val="0"/>
        <w:spacing w:before="220" w:after="283"/>
        <w:jc w:val="left"/>
        <w:rPr>
          <w:rFonts w:ascii="Times New Roman" w:hAnsi="Times New Roman"/>
          <w:sz w:val="20"/>
        </w:rPr>
      </w:pPr>
      <w:r>
        <w:rPr>
          <w:rFonts w:ascii="Times New Roman" w:hAnsi="Times New Roman"/>
          <w:color w:val="000000"/>
          <w:sz w:val="22"/>
        </w:rPr>
        <w:t>Certain statements made by the Company in this report are “forward-looking statements” within the meaning of the Private Securities Litigation Reform Act of 1995 and Section 21E of the Securities Exchange Act of 1934 as amended (the Exchange Act). Forward-looking statements include, without limitation, any statement that may predict, forecast, indicate, or imply future results, performance, or achievements, and may contain words such as “believe,” “anticipate,” “expect,” “estimate,” “project,” or words or phrases of similar meaning. In our reports and filings we may make forward-looking statements regarding, among other things, our expectations about future revenue levels and financial results, our financial performance during fiscal 2026, anticipated improvement in International segment revenues, our expectations regarding a new go-to-market strategy, expected future cash flows, future training and consulting revenue, expected increases in add-on subscription services revenue and delivered training and coaching days, anticipated renewals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subscription offerings, our ability to hire sales professionals, the amount and timing of capital expenditures, anticipated expenses, including SG&amp;A expenses, depreciation, and amortization, future gross margins, the release of new services or products, the adequacy of existing capital resources, our ability to renew or extend our line of credit facility, expected effective income tax rates and cash paid for income taxes, our ability to maintain adequate capital for our operations for at least the upcoming 12 months, the expected impact of the resolution of significant macroeconomic issues and geopolitical tensions, the seasonality of future revenues, future compliance with the terms and conditions of our line of credit, the ability to borrow on our line of credit, expected collection of accounts receivable, estimated capital expenditures, and cash flow estimates used to determine the fair value of long-lived assets. These, and other forward-looking statements, are subject to certain risks and uncertainties that may cause actual results to differ materially from the forward-looking statements. These risks and uncertainties are disclosed from time to time in reports filed by us with the SEC, including reports on Forms 8-K, 10-Q, and 10-K. Such risks and uncertainties include, but are not limited to, the matters discussed in Item 1A of our Annual Report, entitled “Risk Factors.” In addition, such risks and uncertainties may include unanticipated developments in any one or more of the following areas: cybersecurity risks; macroeconomic risks; litigation; unanticipated costs or capital expenditures; delays or unanticipated outcomes relating to our strategic plans; dependence on existing products or services; the rate and consumer acceptance of new product introductions, including the All Access Pass; competition; the impact of foreign exchange rates; the number and nature of customers and their product orders, including changes in the timing or mix of product or training orders; pricing of our products and services and those of competitors; adverse publicity; and other factors which may adversely affect our business.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risks included here are not exhaustive. Other sections of this report may include additional factors that could adversely affect our business and financial performance. Moreover, we operate in a very competitive and rapidly changing environment. New risk factors may emerge and it is not possible for our management to predict all such risk factors, nor can we assess the impact of all such risk factors on our business or the extent to which any single factor, or combination of factors, may cause actual results to differ materially from those contained in forward-looking statements. Given these risks and uncertainties, investors should not rely on forward-looking statements as a prediction of actual results.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market price of our common stock has been and may remain volatile. In addition, stock markets in general have experienced significant volatility. Factors such as quarter-to-quarter variations in revenues and earnings or losses and our failure to meet expectations could have a significant impact on the market price of our common stock. In addition, the price of our common stock can change for reasons unrelated to our performance, such as government actions on spending and trade. Due to our low market capitalization, the price of our common stock may also be affected by conditions such as a lack of analyst coverage, and fewer potential investors.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Forward-looking statements are based on management’s expectations as of the date made, and we do not undertake any responsibility to update any of these statements in the future except as required by law. Actual future performance and results will differ and may differ materially from that contained in or suggested by forward-looking statements as a result of the factors set forth in this Management’s Discussion and Analysis and elsewhere in our filings with the SEC.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bookmarkStart w:id="11" w:name="item3_quantitative_and_qualitative"/>
      <w:bookmarkEnd w:id="11"/>
      <w:r>
        <w:rPr>
          <w:rFonts w:ascii="Times New Roman" w:hAnsi="Times New Roman"/>
          <w:color w:val="000000"/>
          <w:sz w:val="22"/>
        </w:rPr>
        <w:t>ITEM 3. QUANTITATIVE AND QUALITATIVE DISCLOSURES ABOUT MARKET RISK</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Interest Rate Sensitivity</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At May 31, 2026, our long-term obligations primarily consisted of our long-term leasing arrangements and licensing agreements. Since these long-term obligations have fixed interest rates, our overall interest rate sensitivity is primarily affected by any amounts borrowed on our 2023 Credit Agreement, and the prevailing interest rate on this credit facility. The effective interest rate on the 2023 Credit Agreement is variable and was 5.2% on May 31, 2026. As of May 31, 2026, there were no outstanding borrowings under the 2023 Credit Agreement and, therefore, a change in interest rates would not materially affect our interest expense and cash flows.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There have been no other material changes from the information previously reported under Part II, Item 7A of our Annual Report. We did not utilize any foreign currency or interest rate derivative instruments during the quarter or three quarters ended May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bookmarkStart w:id="12" w:name="item_4_controls_and_procedures"/>
      <w:bookmarkEnd w:id="12"/>
      <w:r>
        <w:rPr>
          <w:rFonts w:ascii="Times New Roman" w:hAnsi="Times New Roman"/>
          <w:color w:val="000000"/>
          <w:sz w:val="22"/>
        </w:rPr>
        <w:t>ITEM 4. CONTROLS AND PROCEDURES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Evaluation of Disclosure Controls and Procedures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maintain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our management, including the Chief Executive Officer and the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evaluated the effectiveness of the design and operation of our disclosure controls and procedures, as defined in Rules 13a-15(e) and 15d-15(e) of the Exchange Act, as of the end of the period covered by this report. Based on this evaluation, the Chief Executive Officer and the Chief Financial Officer concluded that our disclosure controls and procedures were effective as of the end of the period covered by this Quarterly Report on Form 10-Q.</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There were no changes in our internal controls over financial reporting (as defined in Rule 13a-15(f) or 15d-15(f)) during the most recently completed fiscal quarter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2"/>
        </w:rPr>
      </w:pPr>
      <w:bookmarkStart w:id="13" w:name="partii_other_information"/>
      <w:bookmarkEnd w:id="13"/>
      <w:r>
        <w:rPr>
          <w:rFonts w:ascii="Times New Roman" w:hAnsi="Times New Roman"/>
          <w:color w:val="000000"/>
          <w:sz w:val="22"/>
        </w:rPr>
        <w:t>PART II. OTHER INFORMATION</w:t>
      </w:r>
    </w:p>
    <w:p>
      <w:pPr>
        <w:pStyle w:val="TextBody"/>
        <w:bidi w:val="0"/>
        <w:spacing w:before="220" w:after="283"/>
        <w:jc w:val="left"/>
        <w:rPr>
          <w:rFonts w:ascii="Times New Roman" w:hAnsi="Times New Roman"/>
          <w:color w:val="000000"/>
          <w:sz w:val="22"/>
        </w:rPr>
      </w:pPr>
      <w:bookmarkStart w:id="14" w:name="item1_legal_proceedings"/>
      <w:bookmarkEnd w:id="14"/>
      <w:r>
        <w:rPr>
          <w:rFonts w:ascii="Times New Roman" w:hAnsi="Times New Roman"/>
          <w:color w:val="000000"/>
          <w:sz w:val="22"/>
        </w:rPr>
        <w:t>Item 1. LEGAL PROCEEDINGS</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Franklin Saltlake LLC, the former landlord (the Landlord) for the leased premises that housed the Company’s corporate offices previously located at 2200 West Parkway Blvd, Salt Lake City, Utah, filed suit against a subsidiary, Franklin Development Corporation (Franklin Development), on December 20, 2024, in Third District Court, Salt Lake County, Utah. The original complaint alleged that Franklin Development breached the lease by failing to make certain repairs and replacements to equipment on the premises. The Landlord originally sought approximately $2.3 million in damages and a right to enter the premises to make the alleged repairs. The Company vacated the premises on June 30, 2025. The Landlord filed a supplemental complaint on September 18, 2025, alleging approximately $5 million in damages and that Franklin Development is in holdover. The Landlord now seeks no less than $9.2 million in damages. Franklin Development denies all material allegations; contends that the premises and associated equipment were in sound operating condition as of June 30, 2025, and asserts that the Landlord’s demands are contrary to the language of the lease and reasonable commercial practice. Franklin Development answered the supplemental complaint and filed a counterclaim on October 2, 2025, asserting claims for breach of the covenant of good faith and fair dealing and declaratory relief. The parties engaged in fact discovery, which closed on March 2, 2026, and are now engaged in expert discovery. Franklin Development continues to vigorously defend against this suit, but, given the current stage of litigation, any outcome remains uncertain.</w:t>
      </w:r>
    </w:p>
    <w:p>
      <w:pPr>
        <w:pStyle w:val="TextBody"/>
        <w:bidi w:val="0"/>
        <w:jc w:val="left"/>
        <w:rPr>
          <w:rFonts w:ascii="Times New Roman" w:hAnsi="Times New Roman"/>
          <w:color w:val="000000"/>
          <w:sz w:val="22"/>
        </w:rPr>
      </w:pPr>
      <w:bookmarkStart w:id="15" w:name="item1a_risk_factors"/>
      <w:bookmarkEnd w:id="15"/>
      <w:r>
        <w:rPr>
          <w:rFonts w:ascii="Times New Roman" w:hAnsi="Times New Roman"/>
          <w:color w:val="000000"/>
          <w:sz w:val="22"/>
        </w:rPr>
        <w:t>Item 1A. RISK FACTORS</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Refer to Part I, Item 1A, </w:t>
      </w:r>
      <w:r>
        <w:rPr>
          <w:rFonts w:ascii="Times New Roman" w:hAnsi="Times New Roman"/>
          <w:i/>
          <w:color w:val="000000"/>
          <w:sz w:val="22"/>
        </w:rPr>
        <w:t>Risk Factors</w:t>
      </w:r>
      <w:r>
        <w:rPr>
          <w:rFonts w:ascii="Times New Roman" w:hAnsi="Times New Roman"/>
          <w:color w:val="000000"/>
          <w:sz w:val="22"/>
        </w:rPr>
        <w:t>, of our Annual Report for a detailed description of our significant risk factors. Other than the risk factor disclosed in this Item 1A below, there have been no significant changes to these risk factors during the first three quarters of fiscal 2026.</w:t>
      </w:r>
    </w:p>
    <w:p>
      <w:pPr>
        <w:pStyle w:val="TextBody"/>
        <w:bidi w:val="0"/>
        <w:spacing w:before="220" w:after="283"/>
        <w:jc w:val="left"/>
        <w:rPr>
          <w:rFonts w:ascii="Times New Roman" w:hAnsi="Times New Roman"/>
          <w:b/>
          <w:i/>
          <w:color w:val="000000"/>
          <w:sz w:val="22"/>
        </w:rPr>
      </w:pPr>
      <w:r>
        <w:rPr>
          <w:rFonts w:ascii="Times New Roman" w:hAnsi="Times New Roman"/>
          <w:b/>
          <w:i/>
          <w:color w:val="000000"/>
          <w:sz w:val="22"/>
        </w:rPr>
        <w:t>Adverse resolution of litigation may harm our operating results or financial condition.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We are subject to various legal proceedings and claims in the ordinary course of business domestically and internationally. Any litigation can be costly, lengthy, and disruptive to normal business operations. Moreover, the results of complex legal proceedings are difficult to predict. An unfavorable resolution of lawsuits could materially harm our business, operating results, or financial condition.</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On December 20, 2024, our previous Landlord filed a lawsuit alleging breach of lease for failure to perform certain equipment repairs and replacements. While we believe that the premises and associated equipment remain in sound operating condition, and that no such repair is warranted or needed and we intend to respond to all claims vigorously, we cannot predict with certainty the outcome of current or future legal proceedings. The outcome of legal proceedings, whether or not meritorious, is inherently uncertain. Defending against claims requires significant management attention and financial resources. We may incur costs through defense expenses, settlements, or adverse judgments. These proceedings could materially harm our business operations, financial results and condition, management focus and resources, and reputation and brand value. The costs and distractions of litigation, particularly if claims increase in scope or number, could materially impact our business success and shareholder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color w:val="000000"/>
          <w:sz w:val="22"/>
        </w:rPr>
      </w:pPr>
      <w:bookmarkStart w:id="16" w:name="item2_unregistered_sales_of_equity"/>
      <w:bookmarkEnd w:id="16"/>
      <w:r>
        <w:rPr>
          <w:rFonts w:ascii="Times New Roman" w:hAnsi="Times New Roman"/>
          <w:color w:val="000000"/>
          <w:sz w:val="22"/>
        </w:rPr>
        <w:t>Item 2. UNREGISTERED SALES OF EQUITY SECURITIES AND USE OF PROCEEDS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following table summarizes the purchases of our common stock during the fiscal quarter ended May 31, 2026:</w:t>
      </w:r>
    </w:p>
    <w:p>
      <w:pPr>
        <w:pStyle w:val="TextBody"/>
        <w:bidi w:val="0"/>
        <w:jc w:val="left"/>
        <w:rPr/>
      </w:pPr>
      <w:r>
        <w:rPr/>
        <w:t> </w:t>
      </w:r>
    </w:p>
    <w:tbl>
      <w:tblPr>
        <w:tblW w:w="9361" w:type="dxa"/>
        <w:jc w:val="left"/>
        <w:tblInd w:w="0" w:type="dxa"/>
        <w:tblLayout w:type="fixed"/>
        <w:tblCellMar>
          <w:top w:w="28" w:type="dxa"/>
          <w:left w:w="28" w:type="dxa"/>
          <w:bottom w:w="28" w:type="dxa"/>
          <w:right w:w="28" w:type="dxa"/>
        </w:tblCellMar>
      </w:tblPr>
      <w:tblGrid>
        <w:gridCol w:w="2536"/>
        <w:gridCol w:w="146"/>
        <w:gridCol w:w="638"/>
        <w:gridCol w:w="727"/>
        <w:gridCol w:w="146"/>
        <w:gridCol w:w="146"/>
        <w:gridCol w:w="196"/>
        <w:gridCol w:w="540"/>
        <w:gridCol w:w="615"/>
        <w:gridCol w:w="146"/>
        <w:gridCol w:w="146"/>
        <w:gridCol w:w="638"/>
        <w:gridCol w:w="727"/>
        <w:gridCol w:w="146"/>
        <w:gridCol w:w="146"/>
        <w:gridCol w:w="196"/>
        <w:gridCol w:w="260"/>
        <w:gridCol w:w="1075"/>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Number of</w:t>
              <w:br/>
              <w:t>Shares Purchased</w:t>
              <w:br/>
              <w:t>as Part of</w:t>
              <w:br/>
              <w:t>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Maximum</w:t>
              <w:br/>
              <w:t>Number (or</w:t>
              <w:br/>
              <w:t>Approximate</w:t>
              <w:br/>
              <w:t>Dollar Value) of</w:t>
              <w:br/>
              <w:t>Shares (or Units)</w:t>
              <w:br/>
              <w:t>that May Yet Be</w:t>
              <w:br/>
              <w:t>Purchased Under</w:t>
              <w:br/>
              <w:t>the Plans or</w:t>
              <w:br/>
              <w:t>Programs</w:t>
            </w:r>
            <w:r>
              <w:rPr>
                <w:rFonts w:ascii="Times New Roman" w:hAnsi="Times New Roman"/>
                <w:color w:val="000000"/>
                <w:sz w:val="12"/>
              </w:rPr>
              <w:t>(1)</w:t>
              <w:br/>
            </w:r>
            <w:r>
              <w:rPr>
                <w:rFonts w:ascii="Times New Roman" w:hAnsi="Times New Roman"/>
                <w:color w:val="000000"/>
                <w:sz w:val="18"/>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 2026 to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1, 2026 to 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On April 18, 2024, our Board of Directors approved a plan to purchase up to $50.0 million of our outstanding common stock. On August 11, 2025, the Board of Directors approved a replenishment of the plan to purchase up to $50.0 million of common stock. During the quarter ended May 31, 2026, we acquired 475 shares of our common stock from shares withheld for income taxes on stock-based compensation awards at an average price of $15.44 per share which are excluded from the above table.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actual timing, number, and value of common shares purchased under our Board authorized plan will be determined at our discretion and will depend on a number of factors, including, among others, general market and business conditions, the trading price of our common shares, and applicable legal requirements. We have no obligation to purchase any common shares under the authorization, and the purchase plan may be suspended, discontinued, or modified at any time for any reason.</w:t>
      </w:r>
    </w:p>
    <w:p>
      <w:pPr>
        <w:pStyle w:val="TextBody"/>
        <w:bidi w:val="0"/>
        <w:spacing w:before="220" w:after="283"/>
        <w:jc w:val="left"/>
        <w:rPr>
          <w:rFonts w:ascii="Times New Roman" w:hAnsi="Times New Roman"/>
          <w:color w:val="000000"/>
          <w:sz w:val="22"/>
        </w:rPr>
      </w:pPr>
      <w:bookmarkStart w:id="17" w:name="item5_other_information"/>
      <w:bookmarkEnd w:id="17"/>
      <w:r>
        <w:rPr>
          <w:rFonts w:ascii="Times New Roman" w:hAnsi="Times New Roman"/>
          <w:color w:val="000000"/>
          <w:sz w:val="22"/>
        </w:rPr>
        <w:t>Item 5. OTHER INFORMATION</w:t>
      </w:r>
    </w:p>
    <w:p>
      <w:pPr>
        <w:pStyle w:val="TextBody"/>
        <w:bidi w:val="0"/>
        <w:spacing w:before="220" w:after="283"/>
        <w:jc w:val="left"/>
        <w:rPr>
          <w:rFonts w:ascii="Times New Roman" w:hAnsi="Times New Roman"/>
          <w:i/>
          <w:color w:val="000000"/>
          <w:sz w:val="22"/>
        </w:rPr>
      </w:pPr>
      <w:r>
        <w:rPr>
          <w:rFonts w:ascii="Times New Roman" w:hAnsi="Times New Roman"/>
          <w:i/>
          <w:color w:val="000000"/>
          <w:sz w:val="22"/>
        </w:rPr>
        <w:t>Rule 10b5-1 Trading Arrangements</w:t>
      </w:r>
    </w:p>
    <w:p>
      <w:pPr>
        <w:pStyle w:val="TextBody"/>
        <w:bidi w:val="0"/>
        <w:spacing w:before="220" w:after="283"/>
        <w:jc w:val="left"/>
        <w:rPr>
          <w:rFonts w:ascii="Times New Roman" w:hAnsi="Times New Roman"/>
          <w:sz w:val="20"/>
        </w:rPr>
      </w:pPr>
      <w:r>
        <w:rPr>
          <w:rFonts w:ascii="Times New Roman" w:hAnsi="Times New Roman"/>
          <w:color w:val="000000"/>
          <w:sz w:val="22"/>
        </w:rPr>
        <w:t>During the quarter ended May 31, 2026, none of our directors or executive officers adopted</w:t>
      </w:r>
      <w:r>
        <w:rPr>
          <w:rFonts w:ascii="Times New Roman" w:hAnsi="Times New Roman"/>
          <w:color w:val="000000"/>
          <w:sz w:val="20"/>
        </w:rPr>
        <w:t xml:space="preserve"> </w:t>
      </w:r>
      <w:r>
        <w:rPr>
          <w:rFonts w:ascii="Times New Roman" w:hAnsi="Times New Roman"/>
          <w:color w:val="000000"/>
          <w:sz w:val="22"/>
        </w:rPr>
        <w:t>or terminated</w:t>
      </w:r>
      <w:r>
        <w:rPr>
          <w:rFonts w:ascii="Times New Roman" w:hAnsi="Times New Roman"/>
          <w:color w:val="000000"/>
          <w:sz w:val="20"/>
        </w:rPr>
        <w:t xml:space="preserve"> </w:t>
      </w:r>
      <w:r>
        <w:rPr>
          <w:rFonts w:ascii="Times New Roman" w:hAnsi="Times New Roman"/>
          <w:color w:val="000000"/>
          <w:sz w:val="22"/>
        </w:rPr>
        <w:t>any “Rule 10b5-1 trading arrangement” or “non-Rule 10b5-1 trading arrangement” (as each item is defined in Item 408(a)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2"/>
        </w:rPr>
      </w:pPr>
      <w:bookmarkStart w:id="18" w:name="item6_exhibits"/>
      <w:bookmarkEnd w:id="18"/>
      <w:r>
        <w:rPr>
          <w:rFonts w:ascii="Times New Roman" w:hAnsi="Times New Roman"/>
          <w:color w:val="000000"/>
          <w:sz w:val="22"/>
        </w:rPr>
        <w:t>Item 6. EXHIBITS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8"/>
        <w:gridCol w:w="9427"/>
      </w:tblGrid>
      <w:tr>
        <w:trPr/>
        <w:tc>
          <w:tcPr>
            <w:tcW w:w="778" w:type="dxa"/>
            <w:tcBorders/>
            <w:vAlign w:val="center"/>
          </w:tcPr>
          <w:p>
            <w:pPr>
              <w:pStyle w:val="TableContents"/>
              <w:bidi w:val="0"/>
              <w:spacing w:before="0" w:after="283"/>
              <w:jc w:val="left"/>
              <w:rPr>
                <w:sz w:val="4"/>
                <w:szCs w:val="4"/>
              </w:rPr>
            </w:pPr>
            <w:r>
              <w:rPr>
                <w:sz w:val="4"/>
                <w:szCs w:val="4"/>
              </w:rPr>
            </w:r>
          </w:p>
        </w:tc>
        <w:tc>
          <w:tcPr>
            <w:tcW w:w="9427" w:type="dxa"/>
            <w:tcBorders/>
            <w:vAlign w:val="center"/>
          </w:tcPr>
          <w:p>
            <w:pPr>
              <w:pStyle w:val="TableContents"/>
              <w:bidi w:val="0"/>
              <w:spacing w:before="0" w:after="283"/>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94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31.1</w:t>
            </w:r>
          </w:p>
        </w:tc>
        <w:tc>
          <w:tcPr>
            <w:tcW w:w="9427" w:type="dxa"/>
            <w:tcBorders/>
            <w:tcMar>
              <w:top w:w="0" w:type="dxa"/>
              <w:left w:w="0" w:type="dxa"/>
              <w:bottom w:w="0" w:type="dxa"/>
              <w:right w:w="0" w:type="dxa"/>
            </w:tcMar>
            <w:vAlign w:val="center"/>
          </w:tcPr>
          <w:p>
            <w:pPr>
              <w:pStyle w:val="TableContents"/>
              <w:bidi w:val="0"/>
              <w:spacing w:before="0" w:after="283"/>
              <w:jc w:val="left"/>
              <w:rPr/>
            </w:pPr>
            <w:hyperlink w:anchor="fc-ex31_1.htm">
              <w:r>
                <w:rPr>
                  <w:rStyle w:val="InternetLink"/>
                  <w:rFonts w:ascii="Times New Roman" w:hAnsi="Times New Roman"/>
                  <w:color w:val="0000FF"/>
                  <w:sz w:val="22"/>
                  <w:u w:val="single"/>
                </w:rPr>
                <w:t>Rule 13a-14(a) Certifications of the Chief Executive Officer.</w:t>
              </w:r>
            </w:hyperlink>
            <w:r>
              <w:rPr>
                <w:rFonts w:ascii="Times New Roman" w:hAnsi="Times New Roman"/>
                <w:color w:val="000000"/>
                <w:sz w:val="22"/>
              </w:rPr>
              <w:t>*</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31.2</w:t>
            </w:r>
          </w:p>
        </w:tc>
        <w:tc>
          <w:tcPr>
            <w:tcW w:w="9427" w:type="dxa"/>
            <w:tcBorders/>
            <w:tcMar>
              <w:top w:w="0" w:type="dxa"/>
              <w:left w:w="0" w:type="dxa"/>
              <w:bottom w:w="0" w:type="dxa"/>
              <w:right w:w="0" w:type="dxa"/>
            </w:tcMar>
            <w:vAlign w:val="center"/>
          </w:tcPr>
          <w:p>
            <w:pPr>
              <w:pStyle w:val="TableContents"/>
              <w:bidi w:val="0"/>
              <w:spacing w:before="0" w:after="283"/>
              <w:jc w:val="left"/>
              <w:rPr/>
            </w:pPr>
            <w:hyperlink w:anchor="fc-ex31_2.htm">
              <w:r>
                <w:rPr>
                  <w:rStyle w:val="InternetLink"/>
                  <w:rFonts w:ascii="Times New Roman" w:hAnsi="Times New Roman"/>
                  <w:color w:val="0000FF"/>
                  <w:sz w:val="22"/>
                  <w:u w:val="single"/>
                </w:rPr>
                <w:t>Rule 13a-14(a) Certifications of the Chief Financial Officer.</w:t>
              </w:r>
            </w:hyperlink>
            <w:r>
              <w:rPr>
                <w:rFonts w:ascii="Times New Roman" w:hAnsi="Times New Roman"/>
                <w:color w:val="000000"/>
                <w:sz w:val="22"/>
              </w:rPr>
              <w:t>*</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w:t>
            </w:r>
          </w:p>
        </w:tc>
        <w:tc>
          <w:tcPr>
            <w:tcW w:w="9427" w:type="dxa"/>
            <w:tcBorders/>
            <w:tcMar>
              <w:top w:w="0" w:type="dxa"/>
              <w:left w:w="0" w:type="dxa"/>
              <w:bottom w:w="0" w:type="dxa"/>
              <w:right w:w="0" w:type="dxa"/>
            </w:tcMar>
            <w:vAlign w:val="center"/>
          </w:tcPr>
          <w:p>
            <w:pPr>
              <w:pStyle w:val="TableContents"/>
              <w:bidi w:val="0"/>
              <w:spacing w:before="0" w:after="283"/>
              <w:jc w:val="left"/>
              <w:rPr/>
            </w:pPr>
            <w:hyperlink w:anchor="fc-ex32.htm">
              <w:r>
                <w:rPr>
                  <w:rStyle w:val="InternetLink"/>
                  <w:rFonts w:ascii="Times New Roman" w:hAnsi="Times New Roman"/>
                  <w:color w:val="0000FF"/>
                  <w:sz w:val="22"/>
                  <w:u w:val="single"/>
                </w:rPr>
                <w:t>Section 1350 Certifications.</w:t>
              </w:r>
            </w:hyperlink>
            <w:r>
              <w:rPr>
                <w:rFonts w:ascii="Times New Roman" w:hAnsi="Times New Roman"/>
                <w:color w:val="000000"/>
                <w:sz w:val="22"/>
              </w:rPr>
              <w:t>**</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101.INS</w:t>
            </w:r>
          </w:p>
        </w:tc>
        <w:tc>
          <w:tcPr>
            <w:tcW w:w="9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Inline XBRL Instance Document – the instance document does not appear in the Interactive Data File because its XBRL tags are embedded within the Inline XBRL document.</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101.SCH</w:t>
            </w:r>
          </w:p>
        </w:tc>
        <w:tc>
          <w:tcPr>
            <w:tcW w:w="9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Inline XBRL Taxonomy Extension Schema With Embedded Linkbase Documents.</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9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cover page for the Company's Quarterly Report on Form 10-Q has been formatted in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Filed herewith.</w:t>
      </w:r>
    </w:p>
    <w:p>
      <w:pPr>
        <w:pStyle w:val="TextBody"/>
        <w:bidi w:val="0"/>
        <w:jc w:val="left"/>
        <w:rPr>
          <w:rFonts w:ascii="Times New Roman" w:hAnsi="Times New Roman"/>
          <w:color w:val="000000"/>
          <w:sz w:val="22"/>
        </w:rPr>
      </w:pPr>
      <w:r>
        <w:rPr>
          <w:rFonts w:ascii="Times New Roman" w:hAnsi="Times New Roman"/>
          <w:color w:val="000000"/>
          <w:sz w:val="22"/>
        </w:rPr>
        <w:t>** Furnished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bookmarkStart w:id="19" w:name="signatures"/>
      <w:bookmarkEnd w:id="19"/>
      <w:r>
        <w:rPr>
          <w:rFonts w:ascii="Times New Roman" w:hAnsi="Times New Roman"/>
          <w:color w:val="000000"/>
          <w:sz w:val="22"/>
        </w:rPr>
        <w:t>SIGNATURES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73" w:type="dxa"/>
        <w:jc w:val="left"/>
        <w:tblInd w:w="0" w:type="dxa"/>
        <w:tblLayout w:type="fixed"/>
        <w:tblCellMar>
          <w:top w:w="28" w:type="dxa"/>
          <w:left w:w="28" w:type="dxa"/>
          <w:bottom w:w="28" w:type="dxa"/>
          <w:right w:w="28" w:type="dxa"/>
        </w:tblCellMar>
      </w:tblPr>
      <w:tblGrid>
        <w:gridCol w:w="1846"/>
        <w:gridCol w:w="436"/>
        <w:gridCol w:w="3691"/>
      </w:tblGrid>
      <w:tr>
        <w:trPr/>
        <w:tc>
          <w:tcPr>
            <w:tcW w:w="18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FRANKLIN COVEY CO.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July 7, 2026</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Paul S. Walker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Paul S. Walker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(Duly Authorized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July 7, 2026</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Jessica G. Betjemann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Jessica G. Betjemann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fc-ex31_1.htm"/>
      <w:bookmarkStart w:id="21" w:name="ksfcex31_1"/>
      <w:bookmarkEnd w:id="20"/>
      <w:bookmarkEnd w:id="21"/>
      <w:r>
        <w:rPr>
          <w:rFonts w:ascii="Times New Roman" w:hAnsi="Times New Roman"/>
          <w:b/>
          <w:color w:val="000000"/>
          <w:sz w:val="20"/>
        </w:rPr>
        <w:t>Exhibit 31.1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SECTION 302 CERTIFICATION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S. Walker, certify that: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
        <w:gridCol w:w="109"/>
        <w:gridCol w:w="9843"/>
      </w:tblGrid>
      <w:tr>
        <w:trPr/>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3" w:type="dxa"/>
            <w:tcBorders/>
            <w:vAlign w:val="center"/>
          </w:tcPr>
          <w:p>
            <w:pPr>
              <w:pStyle w:val="TableContents"/>
              <w:bidi w:val="0"/>
              <w:spacing w:before="0" w:after="283"/>
              <w:jc w:val="left"/>
              <w:rPr>
                <w:sz w:val="4"/>
                <w:szCs w:val="4"/>
              </w:rPr>
            </w:pPr>
            <w:r>
              <w:rPr>
                <w:sz w:val="4"/>
                <w:szCs w:val="4"/>
              </w:rPr>
            </w:r>
          </w:p>
        </w:tc>
      </w:tr>
      <w:tr>
        <w:trPr/>
        <w:tc>
          <w:tcPr>
            <w:tcW w:w="2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c>
          <w:tcPr>
            <w:tcW w:w="99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Franklin Covey Co.;</w:t>
            </w:r>
          </w:p>
        </w:tc>
      </w:tr>
      <w:tr>
        <w:trPr/>
        <w:tc>
          <w:tcPr>
            <w:tcW w:w="2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 </w:t>
            </w:r>
          </w:p>
        </w:tc>
        <w:tc>
          <w:tcPr>
            <w:tcW w:w="99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 </w:t>
            </w:r>
          </w:p>
        </w:tc>
        <w:tc>
          <w:tcPr>
            <w:tcW w:w="99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99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6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a) </w:t>
            </w:r>
          </w:p>
        </w:tc>
        <w:tc>
          <w:tcPr>
            <w:tcW w:w="9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6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b) </w:t>
            </w:r>
          </w:p>
        </w:tc>
        <w:tc>
          <w:tcPr>
            <w:tcW w:w="9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6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c) </w:t>
            </w:r>
          </w:p>
        </w:tc>
        <w:tc>
          <w:tcPr>
            <w:tcW w:w="9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6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d) </w:t>
            </w:r>
          </w:p>
        </w:tc>
        <w:tc>
          <w:tcPr>
            <w:tcW w:w="9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99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6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a) </w:t>
            </w:r>
          </w:p>
        </w:tc>
        <w:tc>
          <w:tcPr>
            <w:tcW w:w="9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6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b) </w:t>
            </w:r>
          </w:p>
        </w:tc>
        <w:tc>
          <w:tcPr>
            <w:tcW w:w="9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1606"/>
        <w:gridCol w:w="146"/>
        <w:gridCol w:w="207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Paul S. Walker</w:t>
            </w:r>
          </w:p>
        </w:tc>
      </w:tr>
      <w:tr>
        <w:trPr/>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Paul S. Walker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fc-ex31_2.htm"/>
      <w:bookmarkStart w:id="23" w:name="ksfcex31_2"/>
      <w:bookmarkEnd w:id="22"/>
      <w:bookmarkEnd w:id="23"/>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SECTION 302 CERTIFICATION</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Jessica G. Betjemann, certify that: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7"/>
        <w:gridCol w:w="253"/>
        <w:gridCol w:w="255"/>
        <w:gridCol w:w="9170"/>
      </w:tblGrid>
      <w:tr>
        <w:trPr/>
        <w:tc>
          <w:tcPr>
            <w:tcW w:w="5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70" w:type="dxa"/>
            <w:tcBorders/>
            <w:vAlign w:val="center"/>
          </w:tcPr>
          <w:p>
            <w:pPr>
              <w:pStyle w:val="TableContents"/>
              <w:bidi w:val="0"/>
              <w:spacing w:before="0" w:after="283"/>
              <w:jc w:val="left"/>
              <w:rPr>
                <w:sz w:val="4"/>
                <w:szCs w:val="4"/>
              </w:rPr>
            </w:pPr>
            <w:r>
              <w:rPr>
                <w:sz w:val="4"/>
                <w:szCs w:val="4"/>
              </w:rPr>
            </w:r>
          </w:p>
        </w:tc>
      </w:tr>
      <w:tr>
        <w:trPr/>
        <w:tc>
          <w:tcPr>
            <w:tcW w:w="5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c>
          <w:tcPr>
            <w:tcW w:w="96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Franklin Covey Co.;</w:t>
            </w:r>
          </w:p>
        </w:tc>
      </w:tr>
      <w:tr>
        <w:trPr/>
        <w:tc>
          <w:tcPr>
            <w:tcW w:w="5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 </w:t>
            </w:r>
          </w:p>
        </w:tc>
        <w:tc>
          <w:tcPr>
            <w:tcW w:w="96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 </w:t>
            </w:r>
          </w:p>
        </w:tc>
        <w:tc>
          <w:tcPr>
            <w:tcW w:w="96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96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78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a) </w:t>
            </w:r>
          </w:p>
        </w:tc>
        <w:tc>
          <w:tcPr>
            <w:tcW w:w="94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8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b) </w:t>
            </w:r>
          </w:p>
        </w:tc>
        <w:tc>
          <w:tcPr>
            <w:tcW w:w="94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8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c) </w:t>
            </w:r>
          </w:p>
        </w:tc>
        <w:tc>
          <w:tcPr>
            <w:tcW w:w="94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8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d) </w:t>
            </w:r>
          </w:p>
        </w:tc>
        <w:tc>
          <w:tcPr>
            <w:tcW w:w="94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5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96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a) </w:t>
            </w:r>
          </w:p>
        </w:tc>
        <w:tc>
          <w:tcPr>
            <w:tcW w:w="9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b) </w:t>
            </w:r>
          </w:p>
        </w:tc>
        <w:tc>
          <w:tcPr>
            <w:tcW w:w="9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tbl>
      <w:tblPr>
        <w:tblW w:w="3853" w:type="dxa"/>
        <w:jc w:val="left"/>
        <w:tblInd w:w="0" w:type="dxa"/>
        <w:tblLayout w:type="fixed"/>
        <w:tblCellMar>
          <w:top w:w="28" w:type="dxa"/>
          <w:left w:w="28" w:type="dxa"/>
          <w:bottom w:w="28" w:type="dxa"/>
          <w:right w:w="28" w:type="dxa"/>
        </w:tblCellMar>
      </w:tblPr>
      <w:tblGrid>
        <w:gridCol w:w="1606"/>
        <w:gridCol w:w="146"/>
        <w:gridCol w:w="210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Jessica G. Betjemann</w:t>
            </w:r>
          </w:p>
        </w:tc>
      </w:tr>
      <w:tr>
        <w:trPr/>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Jessica G. Betjemann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4" w:name="fc-ex32.htm"/>
      <w:bookmarkStart w:id="25" w:name="ksfcex32"/>
      <w:bookmarkEnd w:id="24"/>
      <w:bookmarkEnd w:id="25"/>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Franklin Covey Co. (the “Company”) on Form 10-Q for the period ended May 31, 2026, as filed with the Securities and Exchange Commission (the “Report”), we, Paul S. Walker, President and Chief Executive Officer of the Company, and Jessica G. Betjemann, Chief Financial Officer of the Company, hereby certify as of the date hereof, solely for purposes of Title 18, Chapter 63, Section 1350 of the United States Code, that to the best of our knowledge: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
        <w:gridCol w:w="9924"/>
      </w:tblGrid>
      <w:tr>
        <w:trPr/>
        <w:tc>
          <w:tcPr>
            <w:tcW w:w="281" w:type="dxa"/>
            <w:tcBorders/>
            <w:vAlign w:val="center"/>
          </w:tcPr>
          <w:p>
            <w:pPr>
              <w:pStyle w:val="TableContents"/>
              <w:bidi w:val="0"/>
              <w:spacing w:before="0" w:after="283"/>
              <w:jc w:val="left"/>
              <w:rPr>
                <w:sz w:val="4"/>
                <w:szCs w:val="4"/>
              </w:rPr>
            </w:pPr>
            <w:r>
              <w:rPr>
                <w:sz w:val="4"/>
                <w:szCs w:val="4"/>
              </w:rPr>
            </w:r>
          </w:p>
        </w:tc>
        <w:tc>
          <w:tcPr>
            <w:tcW w:w="9924" w:type="dxa"/>
            <w:tcBorders/>
            <w:vAlign w:val="center"/>
          </w:tcPr>
          <w:p>
            <w:pPr>
              <w:pStyle w:val="TableContents"/>
              <w:bidi w:val="0"/>
              <w:spacing w:before="0" w:after="283"/>
              <w:jc w:val="left"/>
              <w:rPr>
                <w:sz w:val="4"/>
                <w:szCs w:val="4"/>
              </w:rPr>
            </w:pPr>
            <w:r>
              <w:rPr>
                <w:sz w:val="4"/>
                <w:szCs w:val="4"/>
              </w:rPr>
            </w:r>
          </w:p>
        </w:tc>
      </w:tr>
      <w:tr>
        <w:trPr/>
        <w:tc>
          <w:tcPr>
            <w:tcW w:w="2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c>
          <w:tcPr>
            <w:tcW w:w="9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tc>
      </w:tr>
      <w:tr>
        <w:trPr/>
        <w:tc>
          <w:tcPr>
            <w:tcW w:w="2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 </w:t>
            </w:r>
          </w:p>
        </w:tc>
        <w:tc>
          <w:tcPr>
            <w:tcW w:w="9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at the dates and for the periods indicated.</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has not been, and shall not be deemed, “filed” with the Securities and Exchange Commission.</w:t>
      </w:r>
    </w:p>
    <w:tbl>
      <w:tblPr>
        <w:tblW w:w="4494" w:type="dxa"/>
        <w:jc w:val="left"/>
        <w:tblInd w:w="0" w:type="dxa"/>
        <w:tblLayout w:type="fixed"/>
        <w:tblCellMar>
          <w:top w:w="28" w:type="dxa"/>
          <w:left w:w="28" w:type="dxa"/>
          <w:bottom w:w="28" w:type="dxa"/>
          <w:right w:w="28" w:type="dxa"/>
        </w:tblCellMar>
      </w:tblPr>
      <w:tblGrid>
        <w:gridCol w:w="2041"/>
        <w:gridCol w:w="146"/>
        <w:gridCol w:w="146"/>
        <w:gridCol w:w="21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Paul S. Walker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Jessica G. Betjemann</w:t>
            </w:r>
          </w:p>
        </w:tc>
      </w:tr>
      <w:tr>
        <w:trPr/>
        <w:tc>
          <w:tcPr>
            <w:tcW w:w="20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S. Walker</w:t>
              <w:br/>
              <w:t>Chief Executive Officer</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Jessica G. Betjemann</w:t>
              <w:br/>
              <w:t>Chief Financial Officer</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Date:July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7,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16230</Words>
  <Characters>89217</Characters>
  <CharactersWithSpaces>109669</CharactersWithSpaces>
  <Paragraphs>8438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